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EBA0" w14:textId="77777777" w:rsidR="003B4276" w:rsidRDefault="003B4276" w:rsidP="007E64A2">
      <w:pPr>
        <w:pStyle w:val="BodyText"/>
        <w:spacing w:after="0" w:line="240" w:lineRule="auto"/>
        <w:ind w:left="-142"/>
        <w:jc w:val="left"/>
        <w:sectPr w:rsidR="003B4276" w:rsidSect="001768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 w:right="1418" w:bottom="1418" w:left="1418" w:header="680" w:footer="624" w:gutter="0"/>
          <w:cols w:space="708"/>
          <w:titlePg/>
          <w:docGrid w:linePitch="326"/>
        </w:sectPr>
      </w:pPr>
    </w:p>
    <w:p w14:paraId="751260AB" w14:textId="77777777" w:rsidR="003D6C48" w:rsidRDefault="003D6C48" w:rsidP="003D6C48"/>
    <w:p w14:paraId="5D137096" w14:textId="77777777" w:rsidR="005A7925" w:rsidRDefault="0060454D" w:rsidP="005C7525">
      <w:pPr>
        <w:jc w:val="left"/>
        <w:rPr>
          <w:sz w:val="22"/>
        </w:rPr>
      </w:pPr>
      <w:r>
        <w:rPr>
          <w:noProof/>
          <w:lang w:eastAsia="et-EE"/>
        </w:rPr>
        <w:drawing>
          <wp:anchor distT="0" distB="0" distL="114300" distR="114300" simplePos="0" relativeHeight="251658752" behindDoc="0" locked="0" layoutInCell="1" allowOverlap="1" wp14:anchorId="3A67F1D4" wp14:editId="40B53479">
            <wp:simplePos x="0" y="0"/>
            <wp:positionH relativeFrom="margin">
              <wp:align>left</wp:align>
            </wp:positionH>
            <wp:positionV relativeFrom="paragraph">
              <wp:posOffset>20955</wp:posOffset>
            </wp:positionV>
            <wp:extent cx="893129" cy="811987"/>
            <wp:effectExtent l="0" t="0" r="2540" b="7620"/>
            <wp:wrapThrough wrapText="bothSides">
              <wp:wrapPolygon edited="0">
                <wp:start x="0" y="0"/>
                <wp:lineTo x="0" y="21296"/>
                <wp:lineTo x="21201" y="21296"/>
                <wp:lineTo x="212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129" cy="811987"/>
                    </a:xfrm>
                    <a:prstGeom prst="rect">
                      <a:avLst/>
                    </a:prstGeom>
                  </pic:spPr>
                </pic:pic>
              </a:graphicData>
            </a:graphic>
            <wp14:sizeRelH relativeFrom="page">
              <wp14:pctWidth>0</wp14:pctWidth>
            </wp14:sizeRelH>
            <wp14:sizeRelV relativeFrom="page">
              <wp14:pctHeight>0</wp14:pctHeight>
            </wp14:sizeRelV>
          </wp:anchor>
        </w:drawing>
      </w:r>
      <w:r w:rsidRPr="009A2EEE">
        <w:rPr>
          <w:noProof/>
          <w:lang w:eastAsia="et-EE"/>
        </w:rPr>
        <mc:AlternateContent>
          <mc:Choice Requires="wps">
            <w:drawing>
              <wp:anchor distT="0" distB="0" distL="114300" distR="114300" simplePos="0" relativeHeight="251657728" behindDoc="0" locked="0" layoutInCell="0" allowOverlap="0" wp14:anchorId="02AAD35D" wp14:editId="6E7B3C3F">
                <wp:simplePos x="0" y="0"/>
                <wp:positionH relativeFrom="margin">
                  <wp:posOffset>3223895</wp:posOffset>
                </wp:positionH>
                <wp:positionV relativeFrom="page">
                  <wp:posOffset>972185</wp:posOffset>
                </wp:positionV>
                <wp:extent cx="2632710" cy="812165"/>
                <wp:effectExtent l="0" t="0" r="0" b="444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12165"/>
                        </a:xfrm>
                        <a:prstGeom prst="rect">
                          <a:avLst/>
                        </a:prstGeom>
                        <a:solidFill>
                          <a:srgbClr val="FFFFFF"/>
                        </a:solidFill>
                        <a:ln w="9525">
                          <a:noFill/>
                          <a:miter lim="800000"/>
                          <a:headEnd/>
                          <a:tailEnd/>
                        </a:ln>
                      </wps:spPr>
                      <wps:txbx>
                        <w:txbxContent>
                          <w:p w14:paraId="75BE82E5" w14:textId="3022C433" w:rsidR="005A223E" w:rsidRPr="00D02782" w:rsidRDefault="005A223E" w:rsidP="007B7ACA">
                            <w:pPr>
                              <w:pStyle w:val="kastitekst"/>
                              <w:jc w:val="left"/>
                              <w:rPr>
                                <w:sz w:val="18"/>
                                <w:szCs w:val="18"/>
                              </w:rP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AD35D" id="_x0000_t202" coordsize="21600,21600" o:spt="202" path="m,l,21600r21600,l21600,xe">
                <v:stroke joinstyle="miter"/>
                <v:path gradientshapeok="t" o:connecttype="rect"/>
              </v:shapetype>
              <v:shape id="Text Box 5" o:spid="_x0000_s1026" type="#_x0000_t202" style="position:absolute;margin-left:253.85pt;margin-top:76.55pt;width:207.3pt;height:63.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" o:allowincell="f" o:allowoverlap="f" stroked="f">
                <v:textbox style="mso-fit-shape-to-text:t" inset="1mm,1mm,1mm,1mm">
                  <w:txbxContent>
                    <w:p w14:paraId="75BE82E5" w14:textId="3022C433" w:rsidR="005A223E" w:rsidRPr="00D02782" w:rsidRDefault="005A223E" w:rsidP="007B7ACA">
                      <w:pPr>
                        <w:pStyle w:val="kastitekst"/>
                        <w:jc w:val="left"/>
                        <w:rPr>
                          <w:sz w:val="18"/>
                          <w:szCs w:val="18"/>
                        </w:rPr>
                      </w:pPr>
                    </w:p>
                  </w:txbxContent>
                </v:textbox>
                <w10:wrap type="square" anchorx="margin" anchory="page"/>
              </v:shape>
            </w:pict>
          </mc:Fallback>
        </mc:AlternateContent>
      </w:r>
    </w:p>
    <w:p w14:paraId="4DD31D0F" w14:textId="77777777" w:rsidR="000D008B" w:rsidRDefault="000D008B" w:rsidP="005C7525">
      <w:pPr>
        <w:jc w:val="left"/>
        <w:rPr>
          <w:sz w:val="22"/>
        </w:rPr>
      </w:pPr>
    </w:p>
    <w:p w14:paraId="370E97E0" w14:textId="77777777" w:rsidR="000D008B" w:rsidRDefault="000D008B" w:rsidP="005C7525">
      <w:pPr>
        <w:jc w:val="left"/>
        <w:rPr>
          <w:sz w:val="22"/>
        </w:rPr>
      </w:pPr>
    </w:p>
    <w:p w14:paraId="45E53488" w14:textId="77777777" w:rsidR="000D008B" w:rsidRDefault="000D008B" w:rsidP="005C7525">
      <w:pPr>
        <w:jc w:val="left"/>
        <w:rPr>
          <w:sz w:val="22"/>
        </w:rPr>
      </w:pPr>
    </w:p>
    <w:p w14:paraId="051D1C2D" w14:textId="77777777" w:rsidR="000D008B" w:rsidRDefault="000D008B" w:rsidP="005C7525">
      <w:pPr>
        <w:jc w:val="left"/>
        <w:rPr>
          <w:sz w:val="22"/>
        </w:rPr>
      </w:pPr>
    </w:p>
    <w:p w14:paraId="48CEAADC" w14:textId="77777777" w:rsidR="000D008B" w:rsidRDefault="000D008B" w:rsidP="005C7525">
      <w:pPr>
        <w:jc w:val="left"/>
        <w:rPr>
          <w:sz w:val="22"/>
        </w:rPr>
      </w:pPr>
    </w:p>
    <w:p w14:paraId="3B7DA2D2" w14:textId="77777777" w:rsidR="00305DE1" w:rsidRDefault="00305DE1" w:rsidP="005C7525">
      <w:pPr>
        <w:jc w:val="left"/>
        <w:rPr>
          <w:sz w:val="22"/>
        </w:rPr>
      </w:pPr>
    </w:p>
    <w:p w14:paraId="5DDC3784" w14:textId="77777777" w:rsidR="00305DE1" w:rsidRDefault="00305DE1" w:rsidP="005C7525">
      <w:pPr>
        <w:jc w:val="left"/>
        <w:rPr>
          <w:sz w:val="22"/>
        </w:rPr>
      </w:pPr>
    </w:p>
    <w:p w14:paraId="644AAC00" w14:textId="77777777" w:rsidR="00D57137" w:rsidRDefault="00D57137">
      <w:pPr>
        <w:rPr>
          <w:szCs w:val="24"/>
        </w:rPr>
      </w:pPr>
    </w:p>
    <w:p w14:paraId="1FB56F2B" w14:textId="77777777" w:rsidR="0060454D" w:rsidRPr="00656F48" w:rsidRDefault="0060454D">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ED3814" w:rsidRPr="00656F48" w14:paraId="2E1E6529" w14:textId="77777777" w:rsidTr="00EF7493">
        <w:tc>
          <w:tcPr>
            <w:tcW w:w="5387" w:type="dxa"/>
          </w:tcPr>
          <w:p w14:paraId="65188174" w14:textId="77777777" w:rsidR="00ED3814" w:rsidRPr="00656F48" w:rsidRDefault="00ED3814">
            <w:pPr>
              <w:rPr>
                <w:rFonts w:ascii="Times New Roman" w:hAnsi="Times New Roman" w:cs="Times New Roman"/>
                <w:szCs w:val="24"/>
              </w:rPr>
            </w:pPr>
          </w:p>
        </w:tc>
        <w:tc>
          <w:tcPr>
            <w:tcW w:w="3675" w:type="dxa"/>
          </w:tcPr>
          <w:p w14:paraId="782B3F0A" w14:textId="0C6E8B7F" w:rsidR="00ED3814" w:rsidRPr="00656F48" w:rsidRDefault="00ED3814" w:rsidP="00ED3814">
            <w:pPr>
              <w:tabs>
                <w:tab w:val="left" w:pos="4820"/>
              </w:tabs>
              <w:rPr>
                <w:rFonts w:ascii="Times New Roman" w:hAnsi="Times New Roman" w:cs="Times New Roman"/>
                <w:szCs w:val="24"/>
              </w:rPr>
            </w:pPr>
            <w:r w:rsidRPr="00656F48">
              <w:rPr>
                <w:rFonts w:ascii="Times New Roman" w:hAnsi="Times New Roman" w:cs="Times New Roman"/>
                <w:szCs w:val="24"/>
              </w:rPr>
              <w:t xml:space="preserve">  </w:t>
            </w:r>
            <w:r w:rsidRPr="00656F48">
              <w:rPr>
                <w:szCs w:val="24"/>
              </w:rPr>
              <w:fldChar w:fldCharType="begin"/>
            </w:r>
            <w:r w:rsidR="00991A73">
              <w:rPr>
                <w:rFonts w:ascii="Times New Roman" w:hAnsi="Times New Roman" w:cs="Times New Roman"/>
                <w:szCs w:val="24"/>
              </w:rPr>
              <w:instrText xml:space="preserve"> delta_regDateTime  \* MERGEFORMAT</w:instrText>
            </w:r>
            <w:r w:rsidRPr="00656F48">
              <w:rPr>
                <w:szCs w:val="24"/>
              </w:rPr>
              <w:fldChar w:fldCharType="separate"/>
            </w:r>
            <w:r w:rsidR="00991A73">
              <w:rPr>
                <w:rFonts w:ascii="Times New Roman" w:hAnsi="Times New Roman" w:cs="Times New Roman"/>
                <w:szCs w:val="24"/>
              </w:rPr>
              <w:t>15.02.2024</w:t>
            </w:r>
            <w:r w:rsidRPr="00656F48">
              <w:rPr>
                <w:szCs w:val="24"/>
              </w:rPr>
              <w:fldChar w:fldCharType="end"/>
            </w:r>
            <w:r w:rsidRPr="00656F48">
              <w:rPr>
                <w:rFonts w:ascii="Times New Roman" w:hAnsi="Times New Roman" w:cs="Times New Roman"/>
                <w:szCs w:val="24"/>
              </w:rPr>
              <w:t xml:space="preserve"> nr </w:t>
            </w:r>
            <w:r w:rsidRPr="00656F48">
              <w:rPr>
                <w:szCs w:val="24"/>
              </w:rPr>
              <w:fldChar w:fldCharType="begin"/>
            </w:r>
            <w:r w:rsidR="00991A73">
              <w:rPr>
                <w:rFonts w:ascii="Times New Roman" w:hAnsi="Times New Roman" w:cs="Times New Roman"/>
                <w:szCs w:val="24"/>
              </w:rPr>
              <w:instrText xml:space="preserve"> delta_regNumber  \* MERGEFORMAT</w:instrText>
            </w:r>
            <w:r w:rsidRPr="00656F48">
              <w:rPr>
                <w:szCs w:val="24"/>
              </w:rPr>
              <w:fldChar w:fldCharType="separate"/>
            </w:r>
            <w:r w:rsidR="00991A73">
              <w:rPr>
                <w:rFonts w:ascii="Times New Roman" w:hAnsi="Times New Roman" w:cs="Times New Roman"/>
                <w:szCs w:val="24"/>
              </w:rPr>
              <w:t>3-17/63</w:t>
            </w:r>
            <w:r w:rsidRPr="00656F48">
              <w:rPr>
                <w:szCs w:val="24"/>
              </w:rPr>
              <w:fldChar w:fldCharType="end"/>
            </w:r>
          </w:p>
        </w:tc>
      </w:tr>
    </w:tbl>
    <w:p w14:paraId="5F1B998E" w14:textId="77777777" w:rsidR="00D57137" w:rsidRPr="00656F48" w:rsidRDefault="00D57137">
      <w:pPr>
        <w:rPr>
          <w:szCs w:val="24"/>
        </w:rPr>
      </w:pPr>
    </w:p>
    <w:p w14:paraId="40DEB740" w14:textId="77777777" w:rsidR="00D57137" w:rsidRPr="00656F48" w:rsidRDefault="00D57137">
      <w:pPr>
        <w:rPr>
          <w:szCs w:val="24"/>
        </w:rPr>
      </w:pPr>
    </w:p>
    <w:p w14:paraId="3B28E3D9" w14:textId="77777777" w:rsidR="00D57137" w:rsidRPr="00656F48" w:rsidRDefault="00D57137">
      <w:pPr>
        <w:rPr>
          <w:szCs w:val="24"/>
        </w:rPr>
      </w:pPr>
    </w:p>
    <w:p w14:paraId="2AB9CE41" w14:textId="425B4DBD" w:rsidR="005A7925" w:rsidRPr="008322BA" w:rsidRDefault="005A7925">
      <w:pPr>
        <w:rPr>
          <w:b/>
          <w:bCs/>
          <w:szCs w:val="24"/>
        </w:rPr>
      </w:pPr>
      <w:r w:rsidRPr="008322BA">
        <w:rPr>
          <w:b/>
          <w:bCs/>
          <w:szCs w:val="24"/>
        </w:rPr>
        <w:fldChar w:fldCharType="begin"/>
      </w:r>
      <w:r w:rsidR="00991A73">
        <w:rPr>
          <w:b/>
          <w:bCs/>
          <w:szCs w:val="24"/>
        </w:rPr>
        <w:instrText xml:space="preserve"> delta_docName  \* MERGEFORMAT</w:instrText>
      </w:r>
      <w:r w:rsidRPr="008322BA">
        <w:rPr>
          <w:b/>
          <w:bCs/>
          <w:szCs w:val="24"/>
        </w:rPr>
        <w:fldChar w:fldCharType="separate"/>
      </w:r>
      <w:r w:rsidR="00991A73">
        <w:rPr>
          <w:b/>
          <w:bCs/>
          <w:szCs w:val="24"/>
        </w:rPr>
        <w:t xml:space="preserve">Tellimus nr 7 "midPoint ja Atlassian JIRA ökosüsteemiga liidestamine"  (viitenumber 272566) raamlepingu 3-3/3166 alusel </w:t>
      </w:r>
      <w:r w:rsidRPr="008322BA">
        <w:rPr>
          <w:b/>
          <w:bCs/>
          <w:szCs w:val="24"/>
        </w:rPr>
        <w:fldChar w:fldCharType="end"/>
      </w:r>
    </w:p>
    <w:p w14:paraId="352A65F6" w14:textId="77777777" w:rsidR="007B7ACA" w:rsidRPr="00656F48" w:rsidRDefault="007B7ACA"/>
    <w:p w14:paraId="3CB6CD87" w14:textId="77777777" w:rsidR="008322BA" w:rsidRPr="00373798" w:rsidRDefault="008322BA" w:rsidP="008322BA">
      <w:pPr>
        <w:rPr>
          <w:szCs w:val="24"/>
        </w:rPr>
      </w:pPr>
      <w:r w:rsidRPr="00373798">
        <w:rPr>
          <w:szCs w:val="24"/>
        </w:rPr>
        <w:t xml:space="preserve">Siseministeeriumi infotehnoloogia- ja arenduskeskus (edaspidi SMIT või tellija) soovib </w:t>
      </w:r>
      <w:r w:rsidRPr="00162A0B">
        <w:rPr>
          <w:szCs w:val="24"/>
        </w:rPr>
        <w:t>riigihanke „</w:t>
      </w:r>
      <w:r w:rsidRPr="00162A0B">
        <w:t xml:space="preserve">Siseministeeriumi </w:t>
      </w:r>
      <w:r w:rsidRPr="00F16387">
        <w:t>haldusala digitaalsete identiteetide ja pääsuhalduse lahendus</w:t>
      </w:r>
      <w:r>
        <w:rPr>
          <w:szCs w:val="24"/>
        </w:rPr>
        <w:t>„ (</w:t>
      </w:r>
      <w:r w:rsidRPr="00F16387">
        <w:t>245454</w:t>
      </w:r>
      <w:r>
        <w:t xml:space="preserve">) </w:t>
      </w:r>
      <w:r>
        <w:rPr>
          <w:szCs w:val="24"/>
        </w:rPr>
        <w:t>tulemusel</w:t>
      </w:r>
      <w:r w:rsidRPr="00373798">
        <w:rPr>
          <w:szCs w:val="24"/>
        </w:rPr>
        <w:t xml:space="preserve"> sõlmitud raamlepingu nr </w:t>
      </w:r>
      <w:r>
        <w:rPr>
          <w:szCs w:val="24"/>
        </w:rPr>
        <w:t>3-3/3166</w:t>
      </w:r>
      <w:r w:rsidRPr="00373798">
        <w:rPr>
          <w:szCs w:val="24"/>
        </w:rPr>
        <w:t xml:space="preserve"> alusel sõlmida hankelepingu raamlepingu partneriga</w:t>
      </w:r>
      <w:r>
        <w:rPr>
          <w:szCs w:val="24"/>
        </w:rPr>
        <w:t xml:space="preserve"> </w:t>
      </w:r>
      <w:r w:rsidRPr="00373798">
        <w:rPr>
          <w:szCs w:val="24"/>
        </w:rPr>
        <w:t xml:space="preserve">ja teeb ettepaneku pakkumuse esitamiseks </w:t>
      </w:r>
      <w:r>
        <w:rPr>
          <w:szCs w:val="24"/>
        </w:rPr>
        <w:t xml:space="preserve">tellimuse </w:t>
      </w:r>
      <w:r w:rsidRPr="00373798">
        <w:rPr>
          <w:szCs w:val="24"/>
        </w:rPr>
        <w:t>dokumentides toodud tingimustel.</w:t>
      </w:r>
    </w:p>
    <w:p w14:paraId="4BF794ED" w14:textId="77777777" w:rsidR="008322BA" w:rsidRPr="00373798" w:rsidRDefault="008322BA" w:rsidP="008322BA">
      <w:pPr>
        <w:rPr>
          <w:szCs w:val="24"/>
        </w:rPr>
      </w:pPr>
    </w:p>
    <w:p w14:paraId="74191C9D" w14:textId="77777777" w:rsidR="008322BA" w:rsidRPr="00373798" w:rsidRDefault="008322BA" w:rsidP="008322BA">
      <w:pPr>
        <w:pStyle w:val="ListParagraph"/>
        <w:numPr>
          <w:ilvl w:val="0"/>
          <w:numId w:val="5"/>
        </w:numPr>
        <w:jc w:val="both"/>
        <w:rPr>
          <w:rFonts w:ascii="Times New Roman" w:hAnsi="Times New Roman" w:cs="Times New Roman"/>
          <w:b/>
          <w:bCs/>
          <w:sz w:val="24"/>
          <w:szCs w:val="24"/>
        </w:rPr>
      </w:pPr>
      <w:r w:rsidRPr="00373798">
        <w:rPr>
          <w:rFonts w:ascii="Times New Roman" w:hAnsi="Times New Roman" w:cs="Times New Roman"/>
          <w:b/>
          <w:bCs/>
          <w:sz w:val="24"/>
          <w:szCs w:val="24"/>
        </w:rPr>
        <w:t>Üldteave</w:t>
      </w:r>
    </w:p>
    <w:p w14:paraId="026BAF0C" w14:textId="77777777" w:rsidR="008322BA" w:rsidRPr="00373798" w:rsidRDefault="008322BA" w:rsidP="008322BA">
      <w:pPr>
        <w:pStyle w:val="ListParagraph"/>
        <w:numPr>
          <w:ilvl w:val="1"/>
          <w:numId w:val="5"/>
        </w:numPr>
        <w:jc w:val="both"/>
        <w:rPr>
          <w:rFonts w:ascii="Times New Roman" w:hAnsi="Times New Roman" w:cs="Times New Roman"/>
          <w:sz w:val="24"/>
          <w:szCs w:val="24"/>
        </w:rPr>
      </w:pPr>
      <w:r w:rsidRPr="00373798">
        <w:rPr>
          <w:rFonts w:ascii="Times New Roman" w:hAnsi="Times New Roman" w:cs="Times New Roman"/>
          <w:sz w:val="24"/>
          <w:szCs w:val="24"/>
        </w:rPr>
        <w:t xml:space="preserve">Raamleping: reg nr </w:t>
      </w:r>
      <w:r>
        <w:rPr>
          <w:rFonts w:ascii="Times New Roman" w:hAnsi="Times New Roman" w:cs="Times New Roman"/>
          <w:sz w:val="24"/>
          <w:szCs w:val="24"/>
        </w:rPr>
        <w:t>3-3/3166</w:t>
      </w:r>
      <w:r w:rsidRPr="00373798">
        <w:rPr>
          <w:rFonts w:ascii="Times New Roman" w:hAnsi="Times New Roman" w:cs="Times New Roman"/>
          <w:sz w:val="24"/>
          <w:szCs w:val="24"/>
        </w:rPr>
        <w:t>;</w:t>
      </w:r>
    </w:p>
    <w:p w14:paraId="78270425" w14:textId="77777777" w:rsidR="008322BA" w:rsidRPr="00373798" w:rsidRDefault="008322BA" w:rsidP="008322BA">
      <w:pPr>
        <w:pStyle w:val="ListParagraph"/>
        <w:numPr>
          <w:ilvl w:val="1"/>
          <w:numId w:val="5"/>
        </w:numPr>
        <w:jc w:val="both"/>
        <w:rPr>
          <w:rFonts w:ascii="Times New Roman" w:hAnsi="Times New Roman" w:cs="Times New Roman"/>
          <w:sz w:val="24"/>
          <w:szCs w:val="24"/>
        </w:rPr>
      </w:pPr>
      <w:r w:rsidRPr="00373798">
        <w:rPr>
          <w:rFonts w:ascii="Times New Roman" w:hAnsi="Times New Roman" w:cs="Times New Roman"/>
          <w:sz w:val="24"/>
          <w:szCs w:val="24"/>
        </w:rPr>
        <w:t xml:space="preserve">Hanke eest vastutav isik: </w:t>
      </w:r>
      <w:r>
        <w:rPr>
          <w:rFonts w:ascii="Times New Roman" w:hAnsi="Times New Roman" w:cs="Times New Roman"/>
          <w:sz w:val="24"/>
          <w:szCs w:val="24"/>
        </w:rPr>
        <w:t>Lagle Sokmann</w:t>
      </w:r>
      <w:r w:rsidRPr="00373798">
        <w:rPr>
          <w:rFonts w:ascii="Times New Roman" w:hAnsi="Times New Roman" w:cs="Times New Roman"/>
          <w:sz w:val="24"/>
          <w:szCs w:val="24"/>
        </w:rPr>
        <w:t xml:space="preserve">, </w:t>
      </w:r>
      <w:hyperlink r:id="rId14" w:history="1">
        <w:r w:rsidRPr="00373798">
          <w:rPr>
            <w:rStyle w:val="Hyperlink"/>
            <w:rFonts w:ascii="Times New Roman" w:hAnsi="Times New Roman" w:cs="Times New Roman"/>
            <w:sz w:val="24"/>
            <w:szCs w:val="24"/>
          </w:rPr>
          <w:t>hanked@smit.ee</w:t>
        </w:r>
      </w:hyperlink>
      <w:r w:rsidRPr="00373798">
        <w:rPr>
          <w:rFonts w:ascii="Times New Roman" w:hAnsi="Times New Roman" w:cs="Times New Roman"/>
          <w:sz w:val="24"/>
          <w:szCs w:val="24"/>
        </w:rPr>
        <w:t>.</w:t>
      </w:r>
    </w:p>
    <w:p w14:paraId="0BD706C5" w14:textId="78A92060" w:rsidR="008322BA" w:rsidRPr="00373798" w:rsidRDefault="008322BA" w:rsidP="008322BA">
      <w:pPr>
        <w:pStyle w:val="ListParagraph"/>
        <w:numPr>
          <w:ilvl w:val="1"/>
          <w:numId w:val="5"/>
        </w:numPr>
        <w:jc w:val="both"/>
        <w:rPr>
          <w:rFonts w:ascii="Times New Roman" w:hAnsi="Times New Roman" w:cs="Times New Roman"/>
          <w:sz w:val="24"/>
          <w:szCs w:val="24"/>
        </w:rPr>
      </w:pPr>
      <w:r w:rsidRPr="00373798">
        <w:rPr>
          <w:rFonts w:ascii="Times New Roman" w:hAnsi="Times New Roman" w:cs="Times New Roman"/>
          <w:sz w:val="24"/>
          <w:szCs w:val="24"/>
        </w:rPr>
        <w:t xml:space="preserve">Hanke liik: </w:t>
      </w:r>
      <w:r>
        <w:rPr>
          <w:rFonts w:ascii="Times New Roman" w:hAnsi="Times New Roman" w:cs="Times New Roman"/>
          <w:sz w:val="24"/>
          <w:szCs w:val="24"/>
        </w:rPr>
        <w:t xml:space="preserve"> tellimus raamlepingu alusel;  viitenumber </w:t>
      </w:r>
      <w:r w:rsidR="009E5F4A">
        <w:rPr>
          <w:rFonts w:ascii="Times New Roman" w:hAnsi="Times New Roman" w:cs="Times New Roman"/>
          <w:sz w:val="24"/>
          <w:szCs w:val="24"/>
        </w:rPr>
        <w:t>272566;</w:t>
      </w:r>
    </w:p>
    <w:p w14:paraId="532B5968" w14:textId="7AF72C6D" w:rsidR="008322BA" w:rsidRPr="00A61990" w:rsidRDefault="008322BA" w:rsidP="008322BA">
      <w:pPr>
        <w:pStyle w:val="ListParagraph"/>
        <w:numPr>
          <w:ilvl w:val="1"/>
          <w:numId w:val="5"/>
        </w:numPr>
        <w:jc w:val="both"/>
        <w:rPr>
          <w:rFonts w:ascii="Times New Roman" w:hAnsi="Times New Roman" w:cs="Times New Roman"/>
          <w:sz w:val="24"/>
          <w:szCs w:val="24"/>
        </w:rPr>
      </w:pPr>
      <w:r w:rsidRPr="00373798">
        <w:rPr>
          <w:rFonts w:ascii="Times New Roman" w:hAnsi="Times New Roman" w:cs="Times New Roman"/>
          <w:sz w:val="24"/>
          <w:szCs w:val="24"/>
        </w:rPr>
        <w:t xml:space="preserve"> Menetluse </w:t>
      </w:r>
      <w:r w:rsidRPr="00A61990">
        <w:rPr>
          <w:rFonts w:ascii="Times New Roman" w:hAnsi="Times New Roman" w:cs="Times New Roman"/>
          <w:sz w:val="24"/>
          <w:szCs w:val="24"/>
        </w:rPr>
        <w:t>teostamise viis: e-menetlus eRHR vahendusel</w:t>
      </w:r>
      <w:r w:rsidR="009E5F4A">
        <w:rPr>
          <w:rFonts w:ascii="Times New Roman" w:hAnsi="Times New Roman" w:cs="Times New Roman"/>
          <w:sz w:val="24"/>
          <w:szCs w:val="24"/>
        </w:rPr>
        <w:t>;</w:t>
      </w:r>
    </w:p>
    <w:p w14:paraId="4111BA35" w14:textId="77777777" w:rsidR="008322BA" w:rsidRPr="00A61990" w:rsidRDefault="008322BA" w:rsidP="008322BA">
      <w:pPr>
        <w:pStyle w:val="ListParagraph"/>
        <w:numPr>
          <w:ilvl w:val="1"/>
          <w:numId w:val="5"/>
        </w:numPr>
        <w:jc w:val="both"/>
        <w:rPr>
          <w:rFonts w:ascii="Times New Roman" w:hAnsi="Times New Roman" w:cs="Times New Roman"/>
          <w:sz w:val="24"/>
          <w:szCs w:val="24"/>
        </w:rPr>
      </w:pPr>
      <w:r w:rsidRPr="00A61990">
        <w:rPr>
          <w:rFonts w:ascii="Times New Roman" w:hAnsi="Times New Roman" w:cs="Times New Roman"/>
          <w:sz w:val="24"/>
          <w:szCs w:val="24"/>
        </w:rPr>
        <w:t xml:space="preserve"> Hankelepingu kestus: poolte kohustuste täitmiseni;</w:t>
      </w:r>
    </w:p>
    <w:p w14:paraId="60214B69" w14:textId="77777777" w:rsidR="008322BA" w:rsidRDefault="008322BA" w:rsidP="008322BA">
      <w:pPr>
        <w:pStyle w:val="ListParagraph"/>
        <w:numPr>
          <w:ilvl w:val="1"/>
          <w:numId w:val="5"/>
        </w:numPr>
        <w:jc w:val="both"/>
        <w:rPr>
          <w:rFonts w:ascii="Times New Roman" w:hAnsi="Times New Roman" w:cs="Times New Roman"/>
          <w:sz w:val="24"/>
          <w:szCs w:val="24"/>
        </w:rPr>
      </w:pPr>
      <w:r w:rsidRPr="00373798">
        <w:rPr>
          <w:rFonts w:ascii="Times New Roman" w:hAnsi="Times New Roman" w:cs="Times New Roman"/>
          <w:sz w:val="24"/>
          <w:szCs w:val="24"/>
        </w:rPr>
        <w:t xml:space="preserve">Finantseerimisallikas: </w:t>
      </w:r>
      <w:r>
        <w:rPr>
          <w:rFonts w:ascii="Times New Roman" w:hAnsi="Times New Roman" w:cs="Times New Roman"/>
          <w:sz w:val="24"/>
          <w:szCs w:val="24"/>
        </w:rPr>
        <w:t>riigieelarve;</w:t>
      </w:r>
    </w:p>
    <w:p w14:paraId="7856D1E9" w14:textId="77777777" w:rsidR="008322BA" w:rsidRPr="00021827" w:rsidRDefault="008322BA" w:rsidP="008322BA">
      <w:pPr>
        <w:pStyle w:val="ListParagraph"/>
        <w:numPr>
          <w:ilvl w:val="1"/>
          <w:numId w:val="5"/>
        </w:numPr>
        <w:jc w:val="both"/>
        <w:rPr>
          <w:rFonts w:ascii="Times New Roman" w:hAnsi="Times New Roman" w:cs="Times New Roman"/>
          <w:color w:val="000000" w:themeColor="text1"/>
          <w:sz w:val="24"/>
          <w:szCs w:val="24"/>
        </w:rPr>
      </w:pPr>
      <w:r>
        <w:rPr>
          <w:rFonts w:ascii="Times New Roman" w:hAnsi="Times New Roman" w:cs="Times New Roman"/>
          <w:sz w:val="24"/>
          <w:szCs w:val="24"/>
        </w:rPr>
        <w:t>Eeldatav maksumus: 39 900,00 eurot km-ta;</w:t>
      </w:r>
    </w:p>
    <w:p w14:paraId="35BFBE86" w14:textId="77777777" w:rsidR="008322BA" w:rsidRPr="004D740D" w:rsidRDefault="008322BA" w:rsidP="008322BA">
      <w:pPr>
        <w:pStyle w:val="ListParagraph"/>
        <w:numPr>
          <w:ilvl w:val="1"/>
          <w:numId w:val="5"/>
        </w:numPr>
        <w:jc w:val="both"/>
        <w:rPr>
          <w:rFonts w:ascii="Times New Roman" w:hAnsi="Times New Roman" w:cs="Times New Roman"/>
          <w:sz w:val="24"/>
          <w:szCs w:val="24"/>
        </w:rPr>
      </w:pPr>
      <w:r w:rsidRPr="00021827">
        <w:rPr>
          <w:rFonts w:ascii="Times New Roman" w:hAnsi="Times New Roman" w:cs="Times New Roman"/>
          <w:color w:val="000000" w:themeColor="text1"/>
          <w:sz w:val="24"/>
          <w:szCs w:val="24"/>
        </w:rPr>
        <w:t>Pakk</w:t>
      </w:r>
      <w:r w:rsidRPr="004D740D">
        <w:rPr>
          <w:rFonts w:ascii="Times New Roman" w:hAnsi="Times New Roman" w:cs="Times New Roman"/>
          <w:color w:val="000000" w:themeColor="text1"/>
          <w:sz w:val="24"/>
          <w:szCs w:val="24"/>
        </w:rPr>
        <w:t xml:space="preserve">umuse esitamise tähtaeg: Pakkumuse esitamise täpne kuupäev ja kellaaeg sätestatakse hankemenetluse eest vastutava isiku poolt eRHR-s. Hanke eest vastutaval isikul on õigus muuta pakkumuste esitamise tähtaega ning teha alusdokumentides menetluse käigus avastatud vajalikke mittesisulisi muudatusi ning parandusi. </w:t>
      </w:r>
      <w:r w:rsidRPr="004D740D">
        <w:rPr>
          <w:rFonts w:ascii="Times New Roman" w:hAnsi="Times New Roman" w:cs="Times New Roman"/>
          <w:color w:val="000000" w:themeColor="text1"/>
          <w:sz w:val="24"/>
          <w:szCs w:val="24"/>
          <w:u w:val="single"/>
        </w:rPr>
        <w:t>Pakkujal o</w:t>
      </w:r>
      <w:r w:rsidRPr="004D740D">
        <w:rPr>
          <w:rFonts w:ascii="Times New Roman" w:hAnsi="Times New Roman" w:cs="Times New Roman"/>
          <w:sz w:val="24"/>
          <w:szCs w:val="24"/>
          <w:u w:val="single"/>
        </w:rPr>
        <w:t>n õigus vajadusel teha ettepanek pakkumuse esitamise tähtaja pikendamiseks.</w:t>
      </w:r>
    </w:p>
    <w:p w14:paraId="17FCDD4B" w14:textId="77777777" w:rsidR="008322BA" w:rsidRPr="004D740D" w:rsidRDefault="008322BA" w:rsidP="008322BA">
      <w:pPr>
        <w:pStyle w:val="ListParagraph"/>
        <w:numPr>
          <w:ilvl w:val="1"/>
          <w:numId w:val="5"/>
        </w:numPr>
        <w:jc w:val="both"/>
        <w:rPr>
          <w:rFonts w:ascii="Times New Roman" w:hAnsi="Times New Roman" w:cs="Times New Roman"/>
          <w:sz w:val="24"/>
          <w:szCs w:val="24"/>
        </w:rPr>
      </w:pPr>
      <w:r w:rsidRPr="004D740D">
        <w:rPr>
          <w:rFonts w:ascii="Times New Roman" w:hAnsi="Times New Roman" w:cs="Times New Roman"/>
          <w:sz w:val="24"/>
          <w:szCs w:val="24"/>
        </w:rPr>
        <w:t xml:space="preserve"> Tellijal on õigus alustada pakkumuse kontrollimist varem, kui täitja on esitanud pakkumuse enne punktis 1.</w:t>
      </w:r>
      <w:r>
        <w:rPr>
          <w:rFonts w:ascii="Times New Roman" w:hAnsi="Times New Roman" w:cs="Times New Roman"/>
          <w:sz w:val="24"/>
          <w:szCs w:val="24"/>
        </w:rPr>
        <w:t>8</w:t>
      </w:r>
      <w:r w:rsidRPr="004D740D">
        <w:rPr>
          <w:rFonts w:ascii="Times New Roman" w:hAnsi="Times New Roman" w:cs="Times New Roman"/>
          <w:sz w:val="24"/>
          <w:szCs w:val="24"/>
        </w:rPr>
        <w:t>. nimetatud tähtaega. Tellija informeerib sellest enne pakkumuse kontrollima asumist ka täitjat.</w:t>
      </w:r>
    </w:p>
    <w:p w14:paraId="5AC24C14" w14:textId="77777777" w:rsidR="008322BA" w:rsidRPr="00CB2E0C" w:rsidRDefault="008322BA" w:rsidP="008322BA">
      <w:pPr>
        <w:pStyle w:val="ListParagraph"/>
        <w:numPr>
          <w:ilvl w:val="1"/>
          <w:numId w:val="5"/>
        </w:numPr>
        <w:jc w:val="both"/>
        <w:rPr>
          <w:rFonts w:ascii="Times New Roman" w:hAnsi="Times New Roman" w:cs="Times New Roman"/>
          <w:sz w:val="24"/>
          <w:szCs w:val="24"/>
        </w:rPr>
      </w:pPr>
      <w:r w:rsidRPr="00CB2E0C">
        <w:rPr>
          <w:rFonts w:ascii="Times New Roman" w:hAnsi="Times New Roman" w:cs="Times New Roman"/>
          <w:sz w:val="24"/>
          <w:szCs w:val="24"/>
        </w:rPr>
        <w:t xml:space="preserve">Pakkumuse jõusoleku tähtaeg: vähemalt 2 kuud alates pakkumuse esitamise tähtpäevast. </w:t>
      </w:r>
    </w:p>
    <w:p w14:paraId="6AED8031" w14:textId="77777777" w:rsidR="008322BA" w:rsidRPr="00CB2E0C" w:rsidRDefault="008322BA" w:rsidP="008322BA">
      <w:pPr>
        <w:pStyle w:val="ListParagraph"/>
        <w:numPr>
          <w:ilvl w:val="1"/>
          <w:numId w:val="5"/>
        </w:numPr>
        <w:jc w:val="both"/>
        <w:rPr>
          <w:rFonts w:ascii="Times New Roman" w:hAnsi="Times New Roman" w:cs="Times New Roman"/>
          <w:sz w:val="24"/>
          <w:szCs w:val="24"/>
        </w:rPr>
      </w:pPr>
      <w:r w:rsidRPr="00CB2E0C">
        <w:rPr>
          <w:rFonts w:ascii="Times New Roman" w:hAnsi="Times New Roman" w:cs="Times New Roman"/>
          <w:sz w:val="24"/>
          <w:szCs w:val="24"/>
        </w:rPr>
        <w:t>Põhjendus olelusringi kulude arvesse võtmata jätmise või vastava sätte mittekohaldumise kohta: Käesoleva hanke tulemusel sõlmitava lepingute alusel teostatavate tööde puhul ei teki selliseid eraldiseisvaid olelusringi kulusid (nt infosüsteemi ülalpidamine vmt), mis mõjutaks või oluliselt mõjutaks valmiva lahenduse (rakenduse) töö- ja toimekindlust. Tulenevalt hankija asutuse struktuurist ja eelarvestamise süsteemist on infosüsteemi ülalpidamiskulude katmine lahendatud erinevate kombineeritavate tark- ja riistvaraliste lahendustega, mida hangitakse teiste hangete kaud</w:t>
      </w:r>
      <w:r>
        <w:rPr>
          <w:rFonts w:ascii="Times New Roman" w:hAnsi="Times New Roman" w:cs="Times New Roman"/>
          <w:sz w:val="24"/>
          <w:szCs w:val="24"/>
        </w:rPr>
        <w:t>u</w:t>
      </w:r>
      <w:r w:rsidRPr="00CB2E0C">
        <w:rPr>
          <w:rFonts w:ascii="Times New Roman" w:hAnsi="Times New Roman" w:cs="Times New Roman"/>
          <w:sz w:val="24"/>
          <w:szCs w:val="24"/>
        </w:rPr>
        <w:t>. Pakkuja pakutav meeskonna koosseis ei mõjuta infosüsteemi elukaare kulusid.</w:t>
      </w:r>
    </w:p>
    <w:p w14:paraId="345BCB57" w14:textId="77777777" w:rsidR="008322BA" w:rsidRPr="00CB2E0C" w:rsidRDefault="008322BA" w:rsidP="008322BA">
      <w:pPr>
        <w:pStyle w:val="ListParagraph"/>
        <w:numPr>
          <w:ilvl w:val="1"/>
          <w:numId w:val="5"/>
        </w:numPr>
        <w:spacing w:after="0" w:line="240" w:lineRule="auto"/>
        <w:jc w:val="both"/>
        <w:outlineLvl w:val="0"/>
        <w:rPr>
          <w:rFonts w:ascii="Times New Roman" w:hAnsi="Times New Roman"/>
          <w:color w:val="000000" w:themeColor="text1"/>
          <w:sz w:val="24"/>
          <w:lang w:eastAsia="et-EE"/>
        </w:rPr>
      </w:pPr>
      <w:r w:rsidRPr="00980E50">
        <w:rPr>
          <w:rFonts w:ascii="Times New Roman" w:hAnsi="Times New Roman"/>
          <w:color w:val="000000" w:themeColor="text1"/>
          <w:sz w:val="24"/>
        </w:rPr>
        <w:t>RHR üldandmetesse/hanketeate lahtris "lepingu täitmise tähtaeg" määratud kuupäev tähendab lepingu kehtivust, mitte üksnes täitja kohustuste täitmise tähtaega ning lähtub seetõttu nii täitja kui tellija kohustuste nõuetekohase täitmise tähtaegadest, sh hõlmatud on ka hankija arve tasumiseks kuluv aeg. Pakkujal tuleb lepingu sõlmimise korral lähtuda enda kohustuste tähtaegsel täitmisel lepingu projektis või tehnilises kirjelduses määratud täitmise/lepingu eseme tarnimise tähtajast.</w:t>
      </w:r>
    </w:p>
    <w:p w14:paraId="4094A60B" w14:textId="77777777" w:rsidR="008322BA" w:rsidRPr="00CB2E0C" w:rsidRDefault="008322BA" w:rsidP="008322BA">
      <w:pPr>
        <w:ind w:left="360"/>
        <w:rPr>
          <w:szCs w:val="24"/>
        </w:rPr>
      </w:pPr>
    </w:p>
    <w:p w14:paraId="21B2BAE1" w14:textId="77777777" w:rsidR="008322BA" w:rsidRPr="004D740D" w:rsidRDefault="008322BA" w:rsidP="008322BA">
      <w:pPr>
        <w:ind w:left="360"/>
      </w:pPr>
    </w:p>
    <w:p w14:paraId="60B81D22" w14:textId="77777777" w:rsidR="008322BA" w:rsidRPr="00373798" w:rsidRDefault="008322BA" w:rsidP="008322BA">
      <w:pPr>
        <w:rPr>
          <w:szCs w:val="24"/>
        </w:rPr>
      </w:pPr>
      <w:r w:rsidRPr="00373798">
        <w:rPr>
          <w:b/>
          <w:bCs/>
          <w:szCs w:val="24"/>
        </w:rPr>
        <w:t>2. Tellimuse dokumendid koosnevad käesolevast dokumendist ning järgmistest lisadest:</w:t>
      </w:r>
      <w:r w:rsidRPr="00373798">
        <w:rPr>
          <w:szCs w:val="24"/>
        </w:rPr>
        <w:t xml:space="preserve"> </w:t>
      </w:r>
    </w:p>
    <w:p w14:paraId="12428190" w14:textId="77777777" w:rsidR="008322BA" w:rsidRDefault="008322BA" w:rsidP="008322BA">
      <w:pPr>
        <w:rPr>
          <w:szCs w:val="24"/>
        </w:rPr>
      </w:pPr>
      <w:r w:rsidRPr="00373798">
        <w:rPr>
          <w:szCs w:val="24"/>
        </w:rPr>
        <w:t xml:space="preserve">2.1. lisa 1 – Hankelepingu projekt; </w:t>
      </w:r>
    </w:p>
    <w:p w14:paraId="1C712D7B" w14:textId="77777777" w:rsidR="008322BA" w:rsidRDefault="008322BA" w:rsidP="008322BA">
      <w:pPr>
        <w:rPr>
          <w:szCs w:val="24"/>
        </w:rPr>
      </w:pPr>
      <w:r>
        <w:rPr>
          <w:szCs w:val="24"/>
        </w:rPr>
        <w:t>2.2. lisa 2 - Tehniline kirjeldus;</w:t>
      </w:r>
    </w:p>
    <w:p w14:paraId="3CEA9C0E" w14:textId="77777777" w:rsidR="008322BA" w:rsidRPr="00373798" w:rsidRDefault="008322BA" w:rsidP="008322BA">
      <w:pPr>
        <w:rPr>
          <w:szCs w:val="24"/>
        </w:rPr>
      </w:pPr>
      <w:r w:rsidRPr="00373798">
        <w:rPr>
          <w:szCs w:val="24"/>
        </w:rPr>
        <w:t xml:space="preserve">2.2. lisa </w:t>
      </w:r>
      <w:r>
        <w:rPr>
          <w:szCs w:val="24"/>
        </w:rPr>
        <w:t>3</w:t>
      </w:r>
      <w:r w:rsidRPr="00373798">
        <w:rPr>
          <w:szCs w:val="24"/>
        </w:rPr>
        <w:t xml:space="preserve"> – Vastavustingimused (eRHR vorm); </w:t>
      </w:r>
    </w:p>
    <w:p w14:paraId="0F718CCC" w14:textId="77777777" w:rsidR="008322BA" w:rsidRDefault="008322BA" w:rsidP="008322BA">
      <w:pPr>
        <w:rPr>
          <w:szCs w:val="24"/>
        </w:rPr>
      </w:pPr>
      <w:r w:rsidRPr="00373798">
        <w:rPr>
          <w:szCs w:val="24"/>
        </w:rPr>
        <w:t xml:space="preserve">2.2.1. lisa </w:t>
      </w:r>
      <w:r>
        <w:rPr>
          <w:szCs w:val="24"/>
        </w:rPr>
        <w:t>3</w:t>
      </w:r>
      <w:r w:rsidRPr="00373798">
        <w:rPr>
          <w:szCs w:val="24"/>
        </w:rPr>
        <w:t>.1 –</w:t>
      </w:r>
      <w:r>
        <w:rPr>
          <w:szCs w:val="24"/>
        </w:rPr>
        <w:t xml:space="preserve">  </w:t>
      </w:r>
      <w:r>
        <w:rPr>
          <w:color w:val="000000"/>
          <w:szCs w:val="24"/>
        </w:rPr>
        <w:t xml:space="preserve">projektijuhi </w:t>
      </w:r>
      <w:r>
        <w:rPr>
          <w:szCs w:val="24"/>
        </w:rPr>
        <w:t xml:space="preserve">CV vorm – </w:t>
      </w:r>
      <w:bookmarkStart w:id="1" w:name="_Hlk122522532"/>
      <w:r>
        <w:rPr>
          <w:szCs w:val="24"/>
        </w:rPr>
        <w:t>esitatakse täidetuna juhul, kui hankelepingusse kaasatakse isik, keda ei ole raamlepingu täitmiseks esitatud</w:t>
      </w:r>
      <w:bookmarkEnd w:id="1"/>
      <w:r>
        <w:rPr>
          <w:szCs w:val="24"/>
        </w:rPr>
        <w:t>;</w:t>
      </w:r>
    </w:p>
    <w:p w14:paraId="12331B12" w14:textId="77777777" w:rsidR="008322BA" w:rsidRDefault="008322BA" w:rsidP="008322BA">
      <w:pPr>
        <w:rPr>
          <w:szCs w:val="24"/>
        </w:rPr>
      </w:pPr>
      <w:r w:rsidRPr="00373798">
        <w:rPr>
          <w:szCs w:val="24"/>
        </w:rPr>
        <w:t>2.2.</w:t>
      </w:r>
      <w:r>
        <w:rPr>
          <w:szCs w:val="24"/>
        </w:rPr>
        <w:t>2</w:t>
      </w:r>
      <w:r w:rsidRPr="00373798">
        <w:rPr>
          <w:szCs w:val="24"/>
        </w:rPr>
        <w:t xml:space="preserve">. lisa </w:t>
      </w:r>
      <w:r>
        <w:rPr>
          <w:szCs w:val="24"/>
        </w:rPr>
        <w:t>3</w:t>
      </w:r>
      <w:r w:rsidRPr="00373798">
        <w:rPr>
          <w:szCs w:val="24"/>
        </w:rPr>
        <w:t>.</w:t>
      </w:r>
      <w:r>
        <w:rPr>
          <w:szCs w:val="24"/>
        </w:rPr>
        <w:t>2</w:t>
      </w:r>
      <w:r w:rsidRPr="00373798">
        <w:rPr>
          <w:szCs w:val="24"/>
        </w:rPr>
        <w:t xml:space="preserve"> –</w:t>
      </w:r>
      <w:r>
        <w:rPr>
          <w:szCs w:val="24"/>
        </w:rPr>
        <w:t xml:space="preserve">  </w:t>
      </w:r>
      <w:r>
        <w:rPr>
          <w:color w:val="000000"/>
          <w:szCs w:val="24"/>
        </w:rPr>
        <w:t xml:space="preserve">analüütik/konsultandi </w:t>
      </w:r>
      <w:r>
        <w:rPr>
          <w:szCs w:val="24"/>
        </w:rPr>
        <w:t>CV vorm – esitatakse täidetuna juhul, kui hankelepingusse kaasatakse isik, keda ei ole raamlepingu täitmiseks esitatud;</w:t>
      </w:r>
    </w:p>
    <w:p w14:paraId="4DA2346A" w14:textId="77777777" w:rsidR="008322BA" w:rsidRPr="00373798" w:rsidRDefault="008322BA" w:rsidP="008322BA">
      <w:pPr>
        <w:rPr>
          <w:szCs w:val="24"/>
        </w:rPr>
      </w:pPr>
      <w:r w:rsidRPr="00373798">
        <w:rPr>
          <w:szCs w:val="24"/>
        </w:rPr>
        <w:t>2.2.</w:t>
      </w:r>
      <w:r>
        <w:rPr>
          <w:szCs w:val="24"/>
        </w:rPr>
        <w:t>3</w:t>
      </w:r>
      <w:r w:rsidRPr="00373798">
        <w:rPr>
          <w:szCs w:val="24"/>
        </w:rPr>
        <w:t xml:space="preserve">. lisa </w:t>
      </w:r>
      <w:r>
        <w:rPr>
          <w:szCs w:val="24"/>
        </w:rPr>
        <w:t>3</w:t>
      </w:r>
      <w:r w:rsidRPr="00373798">
        <w:rPr>
          <w:szCs w:val="24"/>
        </w:rPr>
        <w:t>.</w:t>
      </w:r>
      <w:r>
        <w:rPr>
          <w:szCs w:val="24"/>
        </w:rPr>
        <w:t>3</w:t>
      </w:r>
      <w:r w:rsidRPr="00373798">
        <w:rPr>
          <w:szCs w:val="24"/>
        </w:rPr>
        <w:t xml:space="preserve"> –</w:t>
      </w:r>
      <w:r>
        <w:rPr>
          <w:szCs w:val="24"/>
        </w:rPr>
        <w:t xml:space="preserve">  </w:t>
      </w:r>
      <w:r>
        <w:rPr>
          <w:color w:val="000000"/>
          <w:szCs w:val="24"/>
        </w:rPr>
        <w:t xml:space="preserve">lahenduse spetsialisti </w:t>
      </w:r>
      <w:r>
        <w:rPr>
          <w:szCs w:val="24"/>
        </w:rPr>
        <w:t>CV vorm – esitatakse täidetuna juhul, kui hankelepingusse kaasatakse isik, keda ei ole raamlepingu täitmiseks esitatud;</w:t>
      </w:r>
    </w:p>
    <w:p w14:paraId="62C1AD28" w14:textId="77777777" w:rsidR="008322BA" w:rsidRDefault="008322BA" w:rsidP="008322BA">
      <w:pPr>
        <w:rPr>
          <w:szCs w:val="24"/>
        </w:rPr>
      </w:pPr>
      <w:r>
        <w:rPr>
          <w:szCs w:val="24"/>
        </w:rPr>
        <w:t xml:space="preserve">2.5. </w:t>
      </w:r>
      <w:r w:rsidRPr="00373798">
        <w:rPr>
          <w:szCs w:val="24"/>
        </w:rPr>
        <w:t xml:space="preserve">lisa </w:t>
      </w:r>
      <w:r>
        <w:rPr>
          <w:szCs w:val="24"/>
        </w:rPr>
        <w:t>4</w:t>
      </w:r>
      <w:r w:rsidRPr="00373798">
        <w:rPr>
          <w:szCs w:val="24"/>
        </w:rPr>
        <w:t xml:space="preserve"> – Hindamiskriteeriumid (eRHR vorm)</w:t>
      </w:r>
      <w:r>
        <w:rPr>
          <w:szCs w:val="24"/>
        </w:rPr>
        <w:t>.</w:t>
      </w:r>
    </w:p>
    <w:p w14:paraId="3B1CD1E4" w14:textId="77777777" w:rsidR="008322BA" w:rsidRPr="00373798" w:rsidRDefault="008322BA" w:rsidP="008322BA">
      <w:pPr>
        <w:rPr>
          <w:szCs w:val="24"/>
        </w:rPr>
      </w:pPr>
    </w:p>
    <w:p w14:paraId="5BACE30E" w14:textId="77777777" w:rsidR="008322BA" w:rsidRPr="00373798" w:rsidRDefault="008322BA" w:rsidP="008322BA">
      <w:pPr>
        <w:rPr>
          <w:b/>
          <w:bCs/>
          <w:szCs w:val="24"/>
        </w:rPr>
      </w:pPr>
      <w:r w:rsidRPr="00373798">
        <w:rPr>
          <w:b/>
          <w:bCs/>
          <w:szCs w:val="24"/>
        </w:rPr>
        <w:t>3. Hankelepingu ese</w:t>
      </w:r>
    </w:p>
    <w:p w14:paraId="72523EDF" w14:textId="4D8A9B4C" w:rsidR="00F611A0" w:rsidRPr="00373798" w:rsidRDefault="008322BA" w:rsidP="008322BA">
      <w:pPr>
        <w:rPr>
          <w:szCs w:val="24"/>
        </w:rPr>
      </w:pPr>
      <w:r w:rsidRPr="00373798">
        <w:rPr>
          <w:szCs w:val="24"/>
        </w:rPr>
        <w:t xml:space="preserve">3.1. Hankelepingu </w:t>
      </w:r>
      <w:r w:rsidRPr="00557727">
        <w:rPr>
          <w:szCs w:val="24"/>
        </w:rPr>
        <w:t xml:space="preserve">esemeks on </w:t>
      </w:r>
      <w:r>
        <w:rPr>
          <w:szCs w:val="24"/>
        </w:rPr>
        <w:t xml:space="preserve">ühe </w:t>
      </w:r>
      <w:r>
        <w:rPr>
          <w:color w:val="000000"/>
          <w:szCs w:val="24"/>
        </w:rPr>
        <w:t xml:space="preserve">projektijuhi, </w:t>
      </w:r>
      <w:r w:rsidRPr="00557727">
        <w:rPr>
          <w:szCs w:val="24"/>
        </w:rPr>
        <w:t xml:space="preserve"> </w:t>
      </w:r>
      <w:r>
        <w:rPr>
          <w:color w:val="000000"/>
          <w:szCs w:val="24"/>
        </w:rPr>
        <w:t xml:space="preserve">analüütik/konsultandi  ja lahenduse spetsialisti  ressursi </w:t>
      </w:r>
      <w:r w:rsidRPr="00557727">
        <w:rPr>
          <w:szCs w:val="24"/>
        </w:rPr>
        <w:t xml:space="preserve">ostmine </w:t>
      </w:r>
      <w:r w:rsidR="00F611A0">
        <w:rPr>
          <w:color w:val="000000"/>
          <w:szCs w:val="24"/>
        </w:rPr>
        <w:t xml:space="preserve">identiteedi- ja </w:t>
      </w:r>
      <w:r w:rsidR="00F611A0">
        <w:t>pääsuhalduse lahenduse</w:t>
      </w:r>
      <w:r w:rsidR="00F611A0">
        <w:rPr>
          <w:color w:val="000000"/>
          <w:szCs w:val="24"/>
        </w:rPr>
        <w:t xml:space="preserve"> midPoint liidestamiseks JIRA</w:t>
      </w:r>
      <w:r w:rsidR="00F611A0">
        <w:t xml:space="preserve"> ökosüsteemiga</w:t>
      </w:r>
      <w:r w:rsidR="00F611A0" w:rsidRPr="00557727">
        <w:rPr>
          <w:szCs w:val="24"/>
        </w:rPr>
        <w:t xml:space="preserve"> </w:t>
      </w:r>
      <w:r w:rsidRPr="00557727">
        <w:rPr>
          <w:szCs w:val="24"/>
        </w:rPr>
        <w:t>(edaspidi ka hankelepingu ese). Küsitud rolli</w:t>
      </w:r>
      <w:r>
        <w:rPr>
          <w:szCs w:val="24"/>
        </w:rPr>
        <w:t>de</w:t>
      </w:r>
      <w:r w:rsidRPr="00557727">
        <w:rPr>
          <w:szCs w:val="24"/>
        </w:rPr>
        <w:t xml:space="preserve"> kompetentsid peavad olema võrdsed või ületama raamhankes </w:t>
      </w:r>
      <w:r w:rsidRPr="00F16387">
        <w:t>245454</w:t>
      </w:r>
      <w:r>
        <w:t xml:space="preserve"> vastava </w:t>
      </w:r>
      <w:r w:rsidRPr="00557727">
        <w:rPr>
          <w:szCs w:val="24"/>
        </w:rPr>
        <w:t>rolli kohta sätestatud nõudeid.</w:t>
      </w:r>
      <w:r w:rsidRPr="00373798">
        <w:rPr>
          <w:szCs w:val="24"/>
        </w:rPr>
        <w:t xml:space="preserve"> </w:t>
      </w:r>
      <w:r w:rsidR="00F611A0">
        <w:rPr>
          <w:color w:val="000000"/>
          <w:szCs w:val="24"/>
        </w:rPr>
        <w:t>Hankijal on õigus keelduda pakkuja poolt pakutavast uuest spetsialistist, kui pakutav spetsialist ei vasta eelnimetatud nõuetele.</w:t>
      </w:r>
    </w:p>
    <w:p w14:paraId="24FBE275" w14:textId="77777777" w:rsidR="008322BA" w:rsidRDefault="008322BA" w:rsidP="008322BA">
      <w:pPr>
        <w:rPr>
          <w:color w:val="000000"/>
          <w:szCs w:val="24"/>
        </w:rPr>
      </w:pPr>
      <w:r w:rsidRPr="00373798">
        <w:rPr>
          <w:szCs w:val="24"/>
        </w:rPr>
        <w:t xml:space="preserve">3.2. </w:t>
      </w:r>
      <w:r>
        <w:rPr>
          <w:color w:val="000000"/>
          <w:szCs w:val="24"/>
        </w:rPr>
        <w:t xml:space="preserve">Tööde maksimaalne maht on 570 tundi, millest </w:t>
      </w:r>
      <w:bookmarkStart w:id="2" w:name="_Hlk150952111"/>
      <w:r>
        <w:rPr>
          <w:color w:val="000000"/>
          <w:szCs w:val="24"/>
        </w:rPr>
        <w:t xml:space="preserve">projektijuhi </w:t>
      </w:r>
      <w:bookmarkEnd w:id="2"/>
      <w:r>
        <w:rPr>
          <w:color w:val="000000"/>
          <w:szCs w:val="24"/>
        </w:rPr>
        <w:t xml:space="preserve">tegevusteks on arvestatud orienteeruvalt </w:t>
      </w:r>
      <w:r>
        <w:t>170</w:t>
      </w:r>
      <w:r>
        <w:rPr>
          <w:color w:val="000000"/>
          <w:szCs w:val="24"/>
        </w:rPr>
        <w:t xml:space="preserve"> tundi, analüütik/konsultandi tegevusteks orienteeruvalt </w:t>
      </w:r>
      <w:r>
        <w:t>2</w:t>
      </w:r>
      <w:r>
        <w:rPr>
          <w:color w:val="000000"/>
          <w:szCs w:val="24"/>
        </w:rPr>
        <w:t xml:space="preserve">00 tundi ja lahenduse spetsialisti tegevusteks orienteeruvalt </w:t>
      </w:r>
      <w:r>
        <w:t>200</w:t>
      </w:r>
      <w:r>
        <w:rPr>
          <w:color w:val="000000"/>
          <w:szCs w:val="24"/>
        </w:rPr>
        <w:t xml:space="preserve"> tundi. </w:t>
      </w:r>
    </w:p>
    <w:p w14:paraId="6E2B7466" w14:textId="77777777" w:rsidR="008322BA" w:rsidRPr="00373798" w:rsidRDefault="008322BA" w:rsidP="008322BA">
      <w:pPr>
        <w:rPr>
          <w:szCs w:val="24"/>
        </w:rPr>
      </w:pPr>
    </w:p>
    <w:p w14:paraId="141D5B5A" w14:textId="77777777" w:rsidR="008322BA" w:rsidRPr="00373798" w:rsidRDefault="008322BA" w:rsidP="008322BA">
      <w:pPr>
        <w:rPr>
          <w:b/>
          <w:bCs/>
          <w:szCs w:val="24"/>
        </w:rPr>
      </w:pPr>
      <w:r w:rsidRPr="00373798">
        <w:rPr>
          <w:b/>
          <w:bCs/>
          <w:szCs w:val="24"/>
        </w:rPr>
        <w:t>4. Pakkumuse esitamise tingimused</w:t>
      </w:r>
    </w:p>
    <w:p w14:paraId="45464D8F" w14:textId="77777777" w:rsidR="008322BA" w:rsidRPr="00373798" w:rsidRDefault="008322BA" w:rsidP="008322BA">
      <w:pPr>
        <w:rPr>
          <w:szCs w:val="24"/>
        </w:rPr>
      </w:pPr>
      <w:r w:rsidRPr="00373798">
        <w:rPr>
          <w:szCs w:val="24"/>
        </w:rPr>
        <w:t>4.1. Tellijal on kooskõlas RHS-ga õigus vajadusel nõuda esitatud pakkumuse t</w:t>
      </w:r>
      <w:r>
        <w:rPr>
          <w:szCs w:val="24"/>
        </w:rPr>
        <w:t>äiendamist</w:t>
      </w:r>
      <w:r w:rsidRPr="00373798">
        <w:rPr>
          <w:szCs w:val="24"/>
        </w:rPr>
        <w:t>.</w:t>
      </w:r>
    </w:p>
    <w:p w14:paraId="351A33D4" w14:textId="77777777" w:rsidR="008322BA" w:rsidRPr="00CB2E0C" w:rsidRDefault="008322BA" w:rsidP="008322BA">
      <w:pPr>
        <w:rPr>
          <w:szCs w:val="24"/>
        </w:rPr>
      </w:pPr>
      <w:r w:rsidRPr="00373798">
        <w:rPr>
          <w:szCs w:val="24"/>
        </w:rPr>
        <w:t xml:space="preserve">4.2. </w:t>
      </w:r>
      <w:r w:rsidRPr="00CB2E0C">
        <w:rPr>
          <w:szCs w:val="24"/>
        </w:rPr>
        <w:t xml:space="preserve">Pakkumus tuleb esitada elektrooniliselt eRHR-i kaudu. </w:t>
      </w:r>
    </w:p>
    <w:p w14:paraId="49430D6E" w14:textId="77777777" w:rsidR="008322BA" w:rsidRPr="00CB2E0C" w:rsidRDefault="008322BA" w:rsidP="008322BA">
      <w:pPr>
        <w:rPr>
          <w:szCs w:val="24"/>
        </w:rPr>
      </w:pPr>
      <w:r w:rsidRPr="00CB2E0C">
        <w:rPr>
          <w:szCs w:val="24"/>
        </w:rPr>
        <w:t xml:space="preserve">4.3. </w:t>
      </w:r>
      <w:r w:rsidRPr="00CB2E0C">
        <w:t>Iga viidet, mille hankija teeb alusdokumentides mõnele RHS-i § 88 lõikes 2 nimetatud alusele (standardile, tehnilisele tunnustusele, tehnilisele kontrollisüsteemile, märgisele vms), tuleb lugeda selliselt, et see on täiendatud märkega „või sellega samaväärne“. Iga viidet, mille hankija teeb alusdokumentides ostuallikale, protsessile, kaubamärgile, patendile, tüübile, päritolule, märgisele või tootmisviisile, tuleb lugeda selliselt, et see on täiendatud märkega „või sellega samaväärne“. Samaväärsus tähendab täpselt samu kasutusomadusi ja funktsionaalsusi. Samaväärsuse korral tuleb pakkujal samaväärsust tõendada.</w:t>
      </w:r>
    </w:p>
    <w:p w14:paraId="2C66FE64" w14:textId="77777777" w:rsidR="008322BA" w:rsidRPr="00CB2E0C" w:rsidRDefault="008322BA" w:rsidP="008322BA">
      <w:pPr>
        <w:pStyle w:val="Laad2"/>
        <w:tabs>
          <w:tab w:val="clear" w:pos="360"/>
          <w:tab w:val="clear" w:pos="576"/>
        </w:tabs>
      </w:pPr>
      <w:r w:rsidRPr="00CB2E0C">
        <w:t>Samaväärsuse pakkumisel peab pakutav lahendus ühtima hankija olemasolevate süsteemidega ning toote ja/või teenuse hind peab sisaldama kõiki migreerimisega seotud lisatasusid. Pakkumus peab vastama esitatud nõuetele või olema sellega vähemalt samaväärne, kuid ühilduma olemasoleva lahendusega. Samaväärsust tõendavad andmed ja dokumendid esitab pakkuja koos pakkumusega. Pakkumuse samaväärsust kontrollivad ja hindavad hankija vastavate erialateadmistega töötajad.</w:t>
      </w:r>
    </w:p>
    <w:p w14:paraId="063A1C79" w14:textId="77777777" w:rsidR="008322BA" w:rsidRPr="00373798" w:rsidRDefault="008322BA" w:rsidP="008322BA">
      <w:pPr>
        <w:rPr>
          <w:szCs w:val="24"/>
        </w:rPr>
      </w:pPr>
    </w:p>
    <w:p w14:paraId="7E62EEC6" w14:textId="77777777" w:rsidR="008322BA" w:rsidRPr="00373798" w:rsidRDefault="008322BA" w:rsidP="008322BA">
      <w:pPr>
        <w:rPr>
          <w:b/>
          <w:bCs/>
          <w:szCs w:val="24"/>
        </w:rPr>
      </w:pPr>
      <w:r w:rsidRPr="00373798">
        <w:rPr>
          <w:b/>
          <w:bCs/>
          <w:szCs w:val="24"/>
        </w:rPr>
        <w:t xml:space="preserve">5. Pakkumuse vastavuse kontrollimine </w:t>
      </w:r>
    </w:p>
    <w:p w14:paraId="346F1133" w14:textId="77777777" w:rsidR="008322BA" w:rsidRPr="00373798" w:rsidRDefault="008322BA" w:rsidP="008322BA">
      <w:pPr>
        <w:rPr>
          <w:szCs w:val="24"/>
        </w:rPr>
      </w:pPr>
      <w:r w:rsidRPr="00373798">
        <w:rPr>
          <w:szCs w:val="24"/>
        </w:rPr>
        <w:t xml:space="preserve">5.1 Pakkumus peab vastama tellimuses esitatud tingimustele ning selles ei tohi esineda sisulisi kõrvalekaldumisi esitatud tingimustest. </w:t>
      </w:r>
      <w:r>
        <w:rPr>
          <w:szCs w:val="24"/>
        </w:rPr>
        <w:t>Tellimuses kontrollitakse muuhulgas esitatavate ühikuhindade kooskõla raamlepinguga.</w:t>
      </w:r>
    </w:p>
    <w:p w14:paraId="23F3A154" w14:textId="77777777" w:rsidR="008322BA" w:rsidRPr="00373798" w:rsidRDefault="008322BA" w:rsidP="008322BA">
      <w:pPr>
        <w:rPr>
          <w:szCs w:val="24"/>
        </w:rPr>
      </w:pPr>
      <w:r w:rsidRPr="00373798">
        <w:rPr>
          <w:szCs w:val="24"/>
        </w:rPr>
        <w:t xml:space="preserve">5.2 Täitja peab nõustuma hankelepingu projektis esitatud tingimustega, mille suhtes täitja on esitanud omapoolse pakkumuse. </w:t>
      </w:r>
    </w:p>
    <w:p w14:paraId="5480D826" w14:textId="77777777" w:rsidR="008322BA" w:rsidRPr="00373798" w:rsidRDefault="008322BA" w:rsidP="008322BA">
      <w:pPr>
        <w:rPr>
          <w:szCs w:val="24"/>
        </w:rPr>
      </w:pPr>
      <w:r w:rsidRPr="00373798">
        <w:rPr>
          <w:szCs w:val="24"/>
        </w:rPr>
        <w:t>5.3 Tellija nõudel peab täitja pakkumuses esitatud teavet selgitama, piiritlema või täpsustama.</w:t>
      </w:r>
    </w:p>
    <w:p w14:paraId="6DF11254" w14:textId="77777777" w:rsidR="008322BA" w:rsidRPr="00373798" w:rsidRDefault="008322BA" w:rsidP="008322BA">
      <w:pPr>
        <w:rPr>
          <w:szCs w:val="24"/>
        </w:rPr>
      </w:pPr>
    </w:p>
    <w:p w14:paraId="54590944" w14:textId="77777777" w:rsidR="008322BA" w:rsidRPr="00373798" w:rsidRDefault="008322BA" w:rsidP="008322BA">
      <w:pPr>
        <w:rPr>
          <w:b/>
          <w:bCs/>
          <w:szCs w:val="24"/>
        </w:rPr>
      </w:pPr>
      <w:r w:rsidRPr="00373798">
        <w:rPr>
          <w:b/>
          <w:bCs/>
          <w:szCs w:val="24"/>
        </w:rPr>
        <w:t xml:space="preserve">6. Pakkumuse aktsepteerimine </w:t>
      </w:r>
      <w:r>
        <w:rPr>
          <w:b/>
          <w:bCs/>
          <w:szCs w:val="24"/>
        </w:rPr>
        <w:t>või</w:t>
      </w:r>
      <w:r w:rsidRPr="00373798">
        <w:rPr>
          <w:b/>
          <w:bCs/>
          <w:szCs w:val="24"/>
        </w:rPr>
        <w:t xml:space="preserve"> tagasilükkamine</w:t>
      </w:r>
    </w:p>
    <w:p w14:paraId="76C54D24" w14:textId="77777777" w:rsidR="008322BA" w:rsidRPr="00373798" w:rsidRDefault="008322BA" w:rsidP="008322BA">
      <w:pPr>
        <w:pStyle w:val="Default"/>
        <w:jc w:val="both"/>
      </w:pPr>
      <w:bookmarkStart w:id="3" w:name="_Hlk122522198"/>
      <w:r w:rsidRPr="00373798">
        <w:t xml:space="preserve">6.1. Tellijal on õigus igal ajal enne lepingu sõlmimist tagasi lükata pakkumus, kui: </w:t>
      </w:r>
    </w:p>
    <w:p w14:paraId="0A2D5D4F" w14:textId="77777777" w:rsidR="008322BA" w:rsidRPr="00373798" w:rsidRDefault="008322BA" w:rsidP="008322BA">
      <w:pPr>
        <w:pStyle w:val="Default"/>
        <w:jc w:val="both"/>
      </w:pPr>
      <w:r w:rsidRPr="00373798">
        <w:t xml:space="preserve">6.1.1 esitatud pakkumus ei vasta tellimuses esitatud tingimustele; </w:t>
      </w:r>
    </w:p>
    <w:p w14:paraId="096163AA" w14:textId="77777777" w:rsidR="008322BA" w:rsidRDefault="008322BA" w:rsidP="008322BA">
      <w:pPr>
        <w:pStyle w:val="Default"/>
        <w:jc w:val="both"/>
      </w:pPr>
      <w:r w:rsidRPr="00373798">
        <w:t xml:space="preserve">6.1.2 pakkumuse maksumus ületab raamlepingus </w:t>
      </w:r>
      <w:r>
        <w:t xml:space="preserve">3-3/3166 </w:t>
      </w:r>
      <w:r w:rsidRPr="00373798">
        <w:t xml:space="preserve">sätestatud </w:t>
      </w:r>
      <w:r>
        <w:t xml:space="preserve">vastava </w:t>
      </w:r>
      <w:r w:rsidRPr="00373798">
        <w:t xml:space="preserve">meeskonnaliikme ühe töötunni maksumust; </w:t>
      </w:r>
    </w:p>
    <w:p w14:paraId="78391A91" w14:textId="77777777" w:rsidR="008322BA" w:rsidRPr="00373798" w:rsidRDefault="008322BA" w:rsidP="008322BA">
      <w:pPr>
        <w:pStyle w:val="Default"/>
        <w:jc w:val="both"/>
      </w:pPr>
      <w:r>
        <w:t xml:space="preserve">6.1.3 </w:t>
      </w:r>
      <w:r w:rsidRPr="00373798">
        <w:t>kui täitja on esitanud lisatingimusi, mis ei ole kooskõlas tellimuse tingimustega</w:t>
      </w:r>
      <w:r>
        <w:t>.</w:t>
      </w:r>
    </w:p>
    <w:p w14:paraId="41BD1427" w14:textId="77777777" w:rsidR="008322BA" w:rsidRPr="00373798" w:rsidRDefault="008322BA" w:rsidP="008322BA">
      <w:pPr>
        <w:pStyle w:val="Default"/>
        <w:jc w:val="both"/>
      </w:pPr>
      <w:r w:rsidRPr="00373798">
        <w:t>6.2. Tellijal on õigus tellimus kehtetuks tunnistada</w:t>
      </w:r>
      <w:r>
        <w:t xml:space="preserve"> </w:t>
      </w:r>
      <w:bookmarkStart w:id="4" w:name="_Hlk122522116"/>
      <w:r>
        <w:t>põhjendatud vajadusel omal algatusel</w:t>
      </w:r>
      <w:bookmarkEnd w:id="4"/>
      <w:r>
        <w:t xml:space="preserve"> või</w:t>
      </w:r>
      <w:r w:rsidRPr="00373798">
        <w:t xml:space="preserve"> kui enne hankelepingu sõlmimist on tellijale saanud teatavaks uued asjaolud, mis välistavad või muudavad tellijale ebaotstarbekaks tellimuse lõpuleviimise esitatud tingimustel (sh muudatused seadusandluses) või kui tellija lepingule otsustatakse rahastust mitte tagada. </w:t>
      </w:r>
    </w:p>
    <w:p w14:paraId="0DBAF02A" w14:textId="77777777" w:rsidR="008322BA" w:rsidRPr="00373798" w:rsidRDefault="008322BA" w:rsidP="008322BA">
      <w:pPr>
        <w:pStyle w:val="Default"/>
        <w:jc w:val="both"/>
        <w:rPr>
          <w:color w:val="auto"/>
        </w:rPr>
      </w:pPr>
      <w:r w:rsidRPr="00373798">
        <w:t>6.3 Pakkumus aktsepteeritakse eduka pakkumusena, kui see vastab tellimuses sätestatud tingimustele. Täitjaga sõlmitakse hankeleping tellimuse lisa 1 tingimustel.</w:t>
      </w:r>
    </w:p>
    <w:bookmarkEnd w:id="3"/>
    <w:p w14:paraId="4BAD3580" w14:textId="77777777" w:rsidR="00E63F9E" w:rsidRPr="00656F48" w:rsidRDefault="00E63F9E">
      <w:pPr>
        <w:pStyle w:val="BodyText"/>
        <w:spacing w:before="120" w:after="0" w:line="240" w:lineRule="auto"/>
      </w:pPr>
    </w:p>
    <w:tbl>
      <w:tblPr>
        <w:tblW w:w="934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342"/>
      </w:tblGrid>
      <w:tr w:rsidR="003B4276" w:rsidRPr="00656F48" w14:paraId="4A12679C" w14:textId="77777777" w:rsidTr="000653E6">
        <w:trPr>
          <w:cantSplit/>
          <w:trHeight w:val="276"/>
          <w:jc w:val="right"/>
        </w:trPr>
        <w:tc>
          <w:tcPr>
            <w:tcW w:w="9342" w:type="dxa"/>
          </w:tcPr>
          <w:p w14:paraId="4EEA56C0" w14:textId="77777777" w:rsidR="003B4276" w:rsidRPr="00656F48" w:rsidRDefault="007402D2" w:rsidP="007E64A2">
            <w:pPr>
              <w:pStyle w:val="BodyText"/>
              <w:spacing w:after="0" w:line="240" w:lineRule="auto"/>
              <w:ind w:left="174"/>
              <w:jc w:val="left"/>
            </w:pPr>
            <w:r w:rsidRPr="00656F48">
              <w:t>Lugupidamisega</w:t>
            </w:r>
          </w:p>
          <w:p w14:paraId="0F0EE922" w14:textId="77777777" w:rsidR="005C7525" w:rsidRPr="00656F48" w:rsidRDefault="005C7525" w:rsidP="007E64A2">
            <w:pPr>
              <w:pStyle w:val="BodyText"/>
              <w:spacing w:after="0" w:line="240" w:lineRule="auto"/>
              <w:ind w:left="174"/>
              <w:jc w:val="left"/>
            </w:pPr>
          </w:p>
        </w:tc>
      </w:tr>
      <w:tr w:rsidR="003B4276" w:rsidRPr="00656F48" w14:paraId="09C086CE" w14:textId="77777777" w:rsidTr="000653E6">
        <w:trPr>
          <w:cantSplit/>
          <w:trHeight w:val="735"/>
          <w:jc w:val="right"/>
        </w:trPr>
        <w:tc>
          <w:tcPr>
            <w:tcW w:w="9342" w:type="dxa"/>
          </w:tcPr>
          <w:p w14:paraId="3F1DB698" w14:textId="77777777" w:rsidR="003B4276" w:rsidRPr="00656F48" w:rsidRDefault="00D0735B" w:rsidP="007E64A2">
            <w:pPr>
              <w:pStyle w:val="BodyText"/>
              <w:spacing w:before="60" w:after="60" w:line="240" w:lineRule="auto"/>
              <w:ind w:left="174"/>
              <w:jc w:val="left"/>
              <w:rPr>
                <w:i/>
                <w:iCs/>
                <w:color w:val="808080"/>
              </w:rPr>
            </w:pPr>
            <w:r w:rsidRPr="00656F48">
              <w:rPr>
                <w:i/>
                <w:iCs/>
                <w:color w:val="808080"/>
              </w:rPr>
              <w:t>(allkirjastatud digitaalselt)</w:t>
            </w:r>
          </w:p>
          <w:p w14:paraId="71F2C6C6" w14:textId="77777777" w:rsidR="008669EA" w:rsidRPr="00656F48" w:rsidRDefault="008669EA" w:rsidP="0011260E">
            <w:pPr>
              <w:pStyle w:val="BodyText"/>
              <w:spacing w:before="60" w:after="60" w:line="240" w:lineRule="auto"/>
              <w:jc w:val="left"/>
              <w:rPr>
                <w:color w:val="808080"/>
              </w:rPr>
            </w:pPr>
          </w:p>
        </w:tc>
      </w:tr>
      <w:tr w:rsidR="003B4276" w:rsidRPr="00656F48" w14:paraId="3642D3A6" w14:textId="77777777" w:rsidTr="000653E6">
        <w:trPr>
          <w:cantSplit/>
          <w:trHeight w:val="276"/>
          <w:jc w:val="right"/>
        </w:trPr>
        <w:tc>
          <w:tcPr>
            <w:tcW w:w="9342" w:type="dxa"/>
          </w:tcPr>
          <w:p w14:paraId="3A003D77" w14:textId="09B83617" w:rsidR="003B4276" w:rsidRPr="00656F48" w:rsidRDefault="009E5F4A" w:rsidP="007E64A2">
            <w:pPr>
              <w:pStyle w:val="BodyText"/>
              <w:spacing w:after="0" w:line="240" w:lineRule="auto"/>
              <w:ind w:left="174"/>
              <w:jc w:val="left"/>
            </w:pPr>
            <w:r>
              <w:fldChar w:fldCharType="begin"/>
            </w:r>
            <w:r w:rsidR="00991A73">
              <w:instrText xml:space="preserve"> delta_signerName  \* MERGEFORMAT</w:instrText>
            </w:r>
            <w:r>
              <w:fldChar w:fldCharType="separate"/>
            </w:r>
            <w:r w:rsidR="00991A73">
              <w:t>Einar Laagriküll</w:t>
            </w:r>
            <w:r>
              <w:fldChar w:fldCharType="end"/>
            </w:r>
          </w:p>
        </w:tc>
      </w:tr>
      <w:tr w:rsidR="00D0735B" w:rsidRPr="00656F48" w14:paraId="060450B4" w14:textId="77777777" w:rsidTr="000653E6">
        <w:trPr>
          <w:cantSplit/>
          <w:trHeight w:val="276"/>
          <w:jc w:val="right"/>
        </w:trPr>
        <w:tc>
          <w:tcPr>
            <w:tcW w:w="9342" w:type="dxa"/>
          </w:tcPr>
          <w:p w14:paraId="3CBE63D7" w14:textId="41700F65" w:rsidR="00D0735B" w:rsidRPr="00656F48" w:rsidRDefault="009E5F4A" w:rsidP="007E64A2">
            <w:pPr>
              <w:pStyle w:val="BodyText"/>
              <w:spacing w:after="0" w:line="240" w:lineRule="auto"/>
              <w:ind w:left="316" w:hanging="174"/>
              <w:jc w:val="left"/>
            </w:pPr>
            <w:r>
              <w:fldChar w:fldCharType="begin"/>
            </w:r>
            <w:r w:rsidR="00991A73">
              <w:instrText xml:space="preserve"> delta_signerJobTitle  \* MERGEFORMAT</w:instrText>
            </w:r>
            <w:r>
              <w:fldChar w:fldCharType="separate"/>
            </w:r>
            <w:r w:rsidR="00991A73">
              <w:t>peadirektori asetäitja baasteenuste valdkonnas</w:t>
            </w:r>
            <w:r>
              <w:fldChar w:fldCharType="end"/>
            </w:r>
            <w:r w:rsidR="00CC48EC" w:rsidRPr="00656F48">
              <w:t xml:space="preserve"> </w:t>
            </w:r>
          </w:p>
          <w:p w14:paraId="6F091574" w14:textId="77777777" w:rsidR="000653E6" w:rsidRPr="00656F48" w:rsidRDefault="000653E6" w:rsidP="0011260E">
            <w:pPr>
              <w:pStyle w:val="BodyText"/>
              <w:spacing w:after="0" w:line="240" w:lineRule="auto"/>
              <w:jc w:val="left"/>
            </w:pPr>
          </w:p>
          <w:p w14:paraId="4A8907FD" w14:textId="77777777" w:rsidR="00E63F9E" w:rsidRPr="00656F48" w:rsidRDefault="00E63F9E" w:rsidP="0011260E">
            <w:pPr>
              <w:pStyle w:val="BodyText"/>
              <w:spacing w:after="0" w:line="240" w:lineRule="auto"/>
              <w:jc w:val="left"/>
            </w:pPr>
          </w:p>
        </w:tc>
      </w:tr>
      <w:tr w:rsidR="003D6C48" w:rsidRPr="00656F48" w14:paraId="71C0E2C7" w14:textId="77777777" w:rsidTr="000653E6">
        <w:trPr>
          <w:cantSplit/>
          <w:trHeight w:val="276"/>
          <w:jc w:val="right"/>
        </w:trPr>
        <w:tc>
          <w:tcPr>
            <w:tcW w:w="9342" w:type="dxa"/>
          </w:tcPr>
          <w:p w14:paraId="6E98AA0F" w14:textId="77777777" w:rsidR="003D6C48" w:rsidRPr="00656F48" w:rsidRDefault="003D6C48" w:rsidP="0011260E">
            <w:pPr>
              <w:pStyle w:val="BodyText"/>
              <w:spacing w:after="0" w:line="240" w:lineRule="auto"/>
              <w:jc w:val="left"/>
            </w:pPr>
          </w:p>
        </w:tc>
      </w:tr>
    </w:tbl>
    <w:p w14:paraId="4268BC32" w14:textId="77777777" w:rsidR="00060108" w:rsidRPr="00656F48" w:rsidRDefault="00060108">
      <w:pPr>
        <w:pStyle w:val="BodyText"/>
        <w:spacing w:after="0" w:line="240" w:lineRule="auto"/>
        <w:jc w:val="left"/>
      </w:pPr>
    </w:p>
    <w:p w14:paraId="47088FEC" w14:textId="3BC0EF9E" w:rsidR="004D1EAE" w:rsidRPr="00656F48" w:rsidRDefault="00060108" w:rsidP="004D1EAE">
      <w:pPr>
        <w:pStyle w:val="BodyText"/>
        <w:tabs>
          <w:tab w:val="left" w:pos="1800"/>
        </w:tabs>
        <w:spacing w:after="0" w:line="240" w:lineRule="auto"/>
        <w:jc w:val="left"/>
      </w:pPr>
      <w:r w:rsidRPr="00656F48">
        <w:t>Lisa: Loet</w:t>
      </w:r>
      <w:r w:rsidR="008322BA">
        <w:t>letud punktis 2.</w:t>
      </w:r>
    </w:p>
    <w:p w14:paraId="2E862EB2" w14:textId="77777777" w:rsidR="008A3246" w:rsidRDefault="008A3246" w:rsidP="004D1EAE">
      <w:pPr>
        <w:pStyle w:val="BodyText"/>
        <w:tabs>
          <w:tab w:val="left" w:pos="1800"/>
        </w:tabs>
        <w:spacing w:after="0" w:line="240" w:lineRule="auto"/>
        <w:jc w:val="left"/>
      </w:pPr>
    </w:p>
    <w:p w14:paraId="6CBA33F5" w14:textId="77777777" w:rsidR="008A3246" w:rsidRDefault="008A3246" w:rsidP="004D1EAE">
      <w:pPr>
        <w:pStyle w:val="BodyText"/>
        <w:tabs>
          <w:tab w:val="left" w:pos="1800"/>
        </w:tabs>
        <w:spacing w:after="0" w:line="240" w:lineRule="auto"/>
        <w:jc w:val="left"/>
      </w:pPr>
    </w:p>
    <w:p w14:paraId="3E684147" w14:textId="77777777" w:rsidR="008A3246" w:rsidRDefault="008A3246" w:rsidP="004D1EAE">
      <w:pPr>
        <w:pStyle w:val="BodyText"/>
        <w:tabs>
          <w:tab w:val="left" w:pos="1800"/>
        </w:tabs>
        <w:spacing w:after="0" w:line="240" w:lineRule="auto"/>
        <w:jc w:val="left"/>
      </w:pPr>
    </w:p>
    <w:p w14:paraId="409D23A0" w14:textId="77777777" w:rsidR="008A3246" w:rsidRDefault="008A3246" w:rsidP="004D1EAE">
      <w:pPr>
        <w:pStyle w:val="BodyText"/>
        <w:tabs>
          <w:tab w:val="left" w:pos="1800"/>
        </w:tabs>
        <w:spacing w:after="0" w:line="240" w:lineRule="auto"/>
        <w:jc w:val="left"/>
      </w:pPr>
    </w:p>
    <w:p w14:paraId="676C7B01" w14:textId="77777777" w:rsidR="008A3246" w:rsidRDefault="008A3246" w:rsidP="004D1EAE">
      <w:pPr>
        <w:pStyle w:val="BodyText"/>
        <w:tabs>
          <w:tab w:val="left" w:pos="1800"/>
        </w:tabs>
        <w:spacing w:after="0" w:line="240" w:lineRule="auto"/>
        <w:jc w:val="left"/>
      </w:pPr>
    </w:p>
    <w:p w14:paraId="47B7B2F3" w14:textId="77777777" w:rsidR="008A3246" w:rsidRDefault="008A3246" w:rsidP="004D1EAE">
      <w:pPr>
        <w:pStyle w:val="BodyText"/>
        <w:tabs>
          <w:tab w:val="left" w:pos="1800"/>
        </w:tabs>
        <w:spacing w:after="0" w:line="240" w:lineRule="auto"/>
        <w:jc w:val="left"/>
      </w:pPr>
    </w:p>
    <w:p w14:paraId="6D58E918" w14:textId="74B4CD3C" w:rsidR="004D1EAE" w:rsidRPr="008322BA" w:rsidRDefault="008322BA" w:rsidP="004D1EAE">
      <w:pPr>
        <w:pStyle w:val="BodyText"/>
        <w:tabs>
          <w:tab w:val="left" w:pos="1800"/>
        </w:tabs>
        <w:spacing w:after="0" w:line="240" w:lineRule="auto"/>
        <w:jc w:val="left"/>
        <w:rPr>
          <w:sz w:val="20"/>
        </w:rPr>
      </w:pPr>
      <w:r w:rsidRPr="008322BA">
        <w:rPr>
          <w:sz w:val="20"/>
        </w:rPr>
        <w:fldChar w:fldCharType="begin"/>
      </w:r>
      <w:r w:rsidR="00991A73">
        <w:rPr>
          <w:sz w:val="20"/>
        </w:rPr>
        <w:instrText xml:space="preserve"> delta_ownerName  \* MERGEFORMAT</w:instrText>
      </w:r>
      <w:r w:rsidRPr="008322BA">
        <w:rPr>
          <w:sz w:val="20"/>
        </w:rPr>
        <w:fldChar w:fldCharType="separate"/>
      </w:r>
      <w:r w:rsidR="00991A73">
        <w:rPr>
          <w:sz w:val="20"/>
        </w:rPr>
        <w:t>Lagle Sokmann</w:t>
      </w:r>
      <w:r w:rsidRPr="008322BA">
        <w:rPr>
          <w:sz w:val="20"/>
        </w:rPr>
        <w:fldChar w:fldCharType="end"/>
      </w:r>
      <w:r w:rsidR="005C7525" w:rsidRPr="008322BA">
        <w:rPr>
          <w:sz w:val="20"/>
        </w:rPr>
        <w:t xml:space="preserve">, </w:t>
      </w:r>
      <w:r w:rsidRPr="008322BA">
        <w:rPr>
          <w:sz w:val="20"/>
        </w:rPr>
        <w:fldChar w:fldCharType="begin"/>
      </w:r>
      <w:r w:rsidR="00991A73">
        <w:rPr>
          <w:sz w:val="20"/>
        </w:rPr>
        <w:instrText xml:space="preserve"> delta_ownerEmail  \* MERGEFORMAT</w:instrText>
      </w:r>
      <w:r w:rsidRPr="008322BA">
        <w:rPr>
          <w:sz w:val="20"/>
        </w:rPr>
        <w:fldChar w:fldCharType="separate"/>
      </w:r>
      <w:r w:rsidR="00991A73">
        <w:rPr>
          <w:sz w:val="20"/>
        </w:rPr>
        <w:t>lagle.sokmann@smit.ee</w:t>
      </w:r>
      <w:r w:rsidRPr="008322BA">
        <w:rPr>
          <w:sz w:val="20"/>
        </w:rPr>
        <w:fldChar w:fldCharType="end"/>
      </w:r>
    </w:p>
    <w:p w14:paraId="06F32F3D" w14:textId="77777777" w:rsidR="004D1EAE" w:rsidRDefault="004D1EAE">
      <w:pPr>
        <w:pStyle w:val="BodyText"/>
        <w:tabs>
          <w:tab w:val="left" w:pos="1800"/>
        </w:tabs>
        <w:spacing w:after="0" w:line="240" w:lineRule="auto"/>
        <w:jc w:val="left"/>
      </w:pPr>
    </w:p>
    <w:sectPr w:rsidR="004D1EAE" w:rsidSect="0011260E">
      <w:headerReference w:type="default" r:id="rId15"/>
      <w:type w:val="continuous"/>
      <w:pgSz w:w="11906" w:h="16838" w:code="9"/>
      <w:pgMar w:top="1417" w:right="1417" w:bottom="1417" w:left="1417"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AD32" w14:textId="77777777" w:rsidR="007E4EEA" w:rsidRDefault="007E4EEA">
      <w:r>
        <w:separator/>
      </w:r>
    </w:p>
  </w:endnote>
  <w:endnote w:type="continuationSeparator" w:id="0">
    <w:p w14:paraId="1AB45229" w14:textId="77777777" w:rsidR="007E4EEA" w:rsidRDefault="007E4EEA">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4046"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21026E49" w14:textId="77777777" w:rsidR="005A223E" w:rsidRDefault="005A2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0F3E" w14:textId="77777777" w:rsidR="00AE1F88" w:rsidRDefault="00AE1F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2268"/>
      <w:gridCol w:w="2268"/>
    </w:tblGrid>
    <w:tr w:rsidR="00B63F9D" w:rsidRPr="00107296" w14:paraId="44E24A92" w14:textId="77777777" w:rsidTr="005860F7">
      <w:trPr>
        <w:trHeight w:val="87"/>
      </w:trPr>
      <w:tc>
        <w:tcPr>
          <w:tcW w:w="5382" w:type="dxa"/>
        </w:tcPr>
        <w:p w14:paraId="14B870C0" w14:textId="77777777" w:rsidR="00B63F9D" w:rsidRPr="00107296" w:rsidRDefault="00B63F9D" w:rsidP="00AE1F88">
          <w:pPr>
            <w:autoSpaceDE w:val="0"/>
            <w:autoSpaceDN w:val="0"/>
            <w:adjustRightInd w:val="0"/>
            <w:ind w:left="718"/>
            <w:rPr>
              <w:rFonts w:ascii="Times New Roman" w:hAnsi="Times New Roman" w:cs="Times New Roman"/>
              <w:color w:val="009CDE"/>
              <w:sz w:val="20"/>
              <w:szCs w:val="24"/>
            </w:rPr>
          </w:pPr>
          <w:r w:rsidRPr="00107296">
            <w:rPr>
              <w:rFonts w:ascii="Times New Roman" w:hAnsi="Times New Roman" w:cs="Times New Roman"/>
              <w:color w:val="009CDE"/>
              <w:sz w:val="20"/>
              <w:szCs w:val="24"/>
            </w:rPr>
            <w:t>Siseministeeriumi infotehnoloogia- ja arenduskeskus</w:t>
          </w:r>
        </w:p>
        <w:p w14:paraId="02CA40E8" w14:textId="77777777" w:rsidR="00B63F9D" w:rsidRPr="00107296" w:rsidRDefault="002E7BEB" w:rsidP="00AE1F88">
          <w:pPr>
            <w:pStyle w:val="Footer"/>
            <w:ind w:left="718"/>
            <w:rPr>
              <w:rFonts w:ascii="Times New Roman" w:hAnsi="Times New Roman" w:cs="Times New Roman"/>
              <w:color w:val="009CDE"/>
              <w:sz w:val="20"/>
              <w:szCs w:val="24"/>
            </w:rPr>
          </w:pPr>
          <w:r>
            <w:rPr>
              <w:rFonts w:ascii="Times New Roman" w:hAnsi="Times New Roman" w:cs="Times New Roman"/>
              <w:color w:val="009CDE"/>
              <w:sz w:val="20"/>
              <w:szCs w:val="24"/>
            </w:rPr>
            <w:t>Mäealuse 2/2</w:t>
          </w:r>
          <w:r w:rsidR="00B63F9D" w:rsidRPr="00107296">
            <w:rPr>
              <w:rFonts w:ascii="Times New Roman" w:hAnsi="Times New Roman" w:cs="Times New Roman"/>
              <w:color w:val="009CDE"/>
              <w:sz w:val="20"/>
              <w:szCs w:val="24"/>
            </w:rPr>
            <w:t>, Tallinn 12618</w:t>
          </w:r>
        </w:p>
      </w:tc>
      <w:tc>
        <w:tcPr>
          <w:tcW w:w="2268" w:type="dxa"/>
        </w:tcPr>
        <w:p w14:paraId="2428BEE1"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Telefon 612 6200</w:t>
          </w:r>
        </w:p>
        <w:p w14:paraId="4A2F72DD"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E-post smit@smit.ee</w:t>
          </w:r>
        </w:p>
      </w:tc>
      <w:tc>
        <w:tcPr>
          <w:tcW w:w="2268" w:type="dxa"/>
        </w:tcPr>
        <w:p w14:paraId="195670D0"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Reg. kood 70008440</w:t>
          </w:r>
        </w:p>
        <w:p w14:paraId="24329DF3"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www.smit.ee</w:t>
          </w:r>
        </w:p>
      </w:tc>
    </w:tr>
  </w:tbl>
  <w:p w14:paraId="38538DF8" w14:textId="77777777" w:rsidR="0011260E" w:rsidRPr="0011260E" w:rsidRDefault="0011260E">
    <w:pPr>
      <w:pStyle w:val="Footer"/>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03F7" w14:textId="77777777" w:rsidR="007E4EEA" w:rsidRDefault="007E4EEA">
      <w:r>
        <w:separator/>
      </w:r>
    </w:p>
  </w:footnote>
  <w:footnote w:type="continuationSeparator" w:id="0">
    <w:p w14:paraId="23BBAFDC" w14:textId="77777777" w:rsidR="007E4EEA" w:rsidRDefault="007E4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61E1"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465FE91A" w14:textId="77777777" w:rsidR="005A223E" w:rsidRDefault="005A2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503E"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E4339">
      <w:rPr>
        <w:rStyle w:val="PageNumber"/>
        <w:noProof/>
      </w:rPr>
      <w:t>1</w:t>
    </w:r>
    <w:r>
      <w:rPr>
        <w:rStyle w:val="PageNumber"/>
      </w:rPr>
      <w:fldChar w:fldCharType="end"/>
    </w:r>
    <w:r w:rsidR="005A223E">
      <w:rPr>
        <w:rStyle w:val="PageNumber"/>
      </w:rPr>
      <w:t>)</w:t>
    </w:r>
  </w:p>
  <w:p w14:paraId="41393629"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8CF0" w14:textId="77777777" w:rsidR="00AE1F88" w:rsidRDefault="00AE1F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864C" w14:textId="33F5F28E"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991A73">
      <w:rPr>
        <w:rStyle w:val="PageNumber"/>
        <w:noProof/>
      </w:rPr>
      <w:t>3</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991A73">
      <w:rPr>
        <w:rStyle w:val="PageNumber"/>
        <w:noProof/>
      </w:rPr>
      <w:t>3</w:t>
    </w:r>
    <w:r>
      <w:rPr>
        <w:rStyle w:val="PageNumber"/>
      </w:rPr>
      <w:fldChar w:fldCharType="end"/>
    </w:r>
    <w:r w:rsidR="005A223E">
      <w:rPr>
        <w:rStyle w:val="PageNumber"/>
      </w:rPr>
      <w:t>)</w:t>
    </w:r>
  </w:p>
  <w:p w14:paraId="0B7FBBCC"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36D"/>
    <w:multiLevelType w:val="multilevel"/>
    <w:tmpl w:val="A3E86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2C42B04"/>
    <w:multiLevelType w:val="multilevel"/>
    <w:tmpl w:val="0A1AD046"/>
    <w:lvl w:ilvl="0">
      <w:start w:val="1"/>
      <w:numFmt w:val="decimal"/>
      <w:pStyle w:val="Laad1"/>
      <w:lvlText w:val="%1."/>
      <w:lvlJc w:val="left"/>
      <w:pPr>
        <w:ind w:left="360" w:hanging="360"/>
      </w:pPr>
      <w:rPr>
        <w:b/>
        <w:bCs/>
      </w:rPr>
    </w:lvl>
    <w:lvl w:ilvl="1">
      <w:start w:val="1"/>
      <w:numFmt w:val="decimal"/>
      <w:pStyle w:val="Laad2"/>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D3E17DE"/>
    <w:multiLevelType w:val="multilevel"/>
    <w:tmpl w:val="C3C605BE"/>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2289"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8"/>
    <w:rsid w:val="000044BA"/>
    <w:rsid w:val="00025B23"/>
    <w:rsid w:val="00030432"/>
    <w:rsid w:val="00045774"/>
    <w:rsid w:val="00060108"/>
    <w:rsid w:val="000615CE"/>
    <w:rsid w:val="00063DAE"/>
    <w:rsid w:val="00064E8C"/>
    <w:rsid w:val="000653E6"/>
    <w:rsid w:val="00066762"/>
    <w:rsid w:val="000676C0"/>
    <w:rsid w:val="00073180"/>
    <w:rsid w:val="00080A46"/>
    <w:rsid w:val="00091900"/>
    <w:rsid w:val="000B48DB"/>
    <w:rsid w:val="000B5E01"/>
    <w:rsid w:val="000B5E2D"/>
    <w:rsid w:val="000D008B"/>
    <w:rsid w:val="000D2A12"/>
    <w:rsid w:val="000D5FCD"/>
    <w:rsid w:val="0011260E"/>
    <w:rsid w:val="00123487"/>
    <w:rsid w:val="00127FE3"/>
    <w:rsid w:val="00152E9D"/>
    <w:rsid w:val="00153B9E"/>
    <w:rsid w:val="00175B9F"/>
    <w:rsid w:val="00176362"/>
    <w:rsid w:val="00176881"/>
    <w:rsid w:val="001A1A1D"/>
    <w:rsid w:val="001B3A06"/>
    <w:rsid w:val="001C0536"/>
    <w:rsid w:val="001C3006"/>
    <w:rsid w:val="001D0499"/>
    <w:rsid w:val="001D6C8A"/>
    <w:rsid w:val="001E436F"/>
    <w:rsid w:val="001F230F"/>
    <w:rsid w:val="002336FE"/>
    <w:rsid w:val="0027738A"/>
    <w:rsid w:val="002819ED"/>
    <w:rsid w:val="002955D4"/>
    <w:rsid w:val="002B64E8"/>
    <w:rsid w:val="002C06A4"/>
    <w:rsid w:val="002E7BEB"/>
    <w:rsid w:val="00305DE1"/>
    <w:rsid w:val="00307A59"/>
    <w:rsid w:val="00310A2B"/>
    <w:rsid w:val="00313146"/>
    <w:rsid w:val="0032377C"/>
    <w:rsid w:val="00323C2B"/>
    <w:rsid w:val="00324077"/>
    <w:rsid w:val="003522CD"/>
    <w:rsid w:val="00353BD2"/>
    <w:rsid w:val="00364627"/>
    <w:rsid w:val="003779EF"/>
    <w:rsid w:val="0038251B"/>
    <w:rsid w:val="0039759B"/>
    <w:rsid w:val="003A6DF8"/>
    <w:rsid w:val="003B4276"/>
    <w:rsid w:val="003D553E"/>
    <w:rsid w:val="003D6C48"/>
    <w:rsid w:val="003E4624"/>
    <w:rsid w:val="003E54F4"/>
    <w:rsid w:val="0040407C"/>
    <w:rsid w:val="00415A3B"/>
    <w:rsid w:val="00424D5E"/>
    <w:rsid w:val="004375C0"/>
    <w:rsid w:val="00443716"/>
    <w:rsid w:val="00487B95"/>
    <w:rsid w:val="00490037"/>
    <w:rsid w:val="004C053E"/>
    <w:rsid w:val="004C34CB"/>
    <w:rsid w:val="004C42A5"/>
    <w:rsid w:val="004D1EAE"/>
    <w:rsid w:val="004D57FC"/>
    <w:rsid w:val="004E1EAB"/>
    <w:rsid w:val="004E3E49"/>
    <w:rsid w:val="004F0CE9"/>
    <w:rsid w:val="004F76CC"/>
    <w:rsid w:val="004F7D1B"/>
    <w:rsid w:val="00507802"/>
    <w:rsid w:val="00527CE9"/>
    <w:rsid w:val="00570B8B"/>
    <w:rsid w:val="005776F1"/>
    <w:rsid w:val="005A223E"/>
    <w:rsid w:val="005A7925"/>
    <w:rsid w:val="005B52F9"/>
    <w:rsid w:val="005C7525"/>
    <w:rsid w:val="005F245C"/>
    <w:rsid w:val="005F4A9B"/>
    <w:rsid w:val="0060454D"/>
    <w:rsid w:val="0061789C"/>
    <w:rsid w:val="0063215E"/>
    <w:rsid w:val="006400A3"/>
    <w:rsid w:val="00656F48"/>
    <w:rsid w:val="00660940"/>
    <w:rsid w:val="00674570"/>
    <w:rsid w:val="00677DBA"/>
    <w:rsid w:val="00680610"/>
    <w:rsid w:val="006848B6"/>
    <w:rsid w:val="00691A61"/>
    <w:rsid w:val="006B14E5"/>
    <w:rsid w:val="006B521E"/>
    <w:rsid w:val="006C4130"/>
    <w:rsid w:val="006D1E3A"/>
    <w:rsid w:val="006E69E0"/>
    <w:rsid w:val="006F1A06"/>
    <w:rsid w:val="00722FAF"/>
    <w:rsid w:val="0073735D"/>
    <w:rsid w:val="007402D2"/>
    <w:rsid w:val="00743E43"/>
    <w:rsid w:val="00777A32"/>
    <w:rsid w:val="00792ECB"/>
    <w:rsid w:val="007A6C6F"/>
    <w:rsid w:val="007B7ACA"/>
    <w:rsid w:val="007D3445"/>
    <w:rsid w:val="007E4EEA"/>
    <w:rsid w:val="007E64A2"/>
    <w:rsid w:val="007E7FE6"/>
    <w:rsid w:val="007F68D7"/>
    <w:rsid w:val="00801BB5"/>
    <w:rsid w:val="00830CA2"/>
    <w:rsid w:val="008322BA"/>
    <w:rsid w:val="00843B2E"/>
    <w:rsid w:val="00854DA9"/>
    <w:rsid w:val="00857748"/>
    <w:rsid w:val="00865017"/>
    <w:rsid w:val="008669EA"/>
    <w:rsid w:val="0087558C"/>
    <w:rsid w:val="008811F1"/>
    <w:rsid w:val="00895350"/>
    <w:rsid w:val="00896B07"/>
    <w:rsid w:val="008A02BC"/>
    <w:rsid w:val="008A3246"/>
    <w:rsid w:val="008A3B3F"/>
    <w:rsid w:val="008A3D1B"/>
    <w:rsid w:val="008A4C3C"/>
    <w:rsid w:val="008D720F"/>
    <w:rsid w:val="008E4339"/>
    <w:rsid w:val="00910004"/>
    <w:rsid w:val="00910DD1"/>
    <w:rsid w:val="00912D8A"/>
    <w:rsid w:val="009225A0"/>
    <w:rsid w:val="009322FD"/>
    <w:rsid w:val="0093578C"/>
    <w:rsid w:val="009459D9"/>
    <w:rsid w:val="00957CDD"/>
    <w:rsid w:val="00967FA8"/>
    <w:rsid w:val="00991A73"/>
    <w:rsid w:val="00993C51"/>
    <w:rsid w:val="009A2CB8"/>
    <w:rsid w:val="009A2EEE"/>
    <w:rsid w:val="009A4E2A"/>
    <w:rsid w:val="009A7F3E"/>
    <w:rsid w:val="009B1845"/>
    <w:rsid w:val="009C2D6A"/>
    <w:rsid w:val="009E5F4A"/>
    <w:rsid w:val="009F20D3"/>
    <w:rsid w:val="009F3D79"/>
    <w:rsid w:val="00A23DA4"/>
    <w:rsid w:val="00A81588"/>
    <w:rsid w:val="00A83A2D"/>
    <w:rsid w:val="00A86AC7"/>
    <w:rsid w:val="00A91B31"/>
    <w:rsid w:val="00AB1415"/>
    <w:rsid w:val="00AB6652"/>
    <w:rsid w:val="00AD00F5"/>
    <w:rsid w:val="00AD191E"/>
    <w:rsid w:val="00AD535F"/>
    <w:rsid w:val="00AE1D5F"/>
    <w:rsid w:val="00AE1F88"/>
    <w:rsid w:val="00B04373"/>
    <w:rsid w:val="00B115BD"/>
    <w:rsid w:val="00B24CA2"/>
    <w:rsid w:val="00B52B4A"/>
    <w:rsid w:val="00B618E6"/>
    <w:rsid w:val="00B6218E"/>
    <w:rsid w:val="00B63F9D"/>
    <w:rsid w:val="00B75B37"/>
    <w:rsid w:val="00B76DFE"/>
    <w:rsid w:val="00BA580E"/>
    <w:rsid w:val="00BC7FE6"/>
    <w:rsid w:val="00BD09A9"/>
    <w:rsid w:val="00BD1538"/>
    <w:rsid w:val="00C04B75"/>
    <w:rsid w:val="00C04DF7"/>
    <w:rsid w:val="00C132AE"/>
    <w:rsid w:val="00C23514"/>
    <w:rsid w:val="00C3156F"/>
    <w:rsid w:val="00C4390F"/>
    <w:rsid w:val="00C81A7F"/>
    <w:rsid w:val="00CB044C"/>
    <w:rsid w:val="00CB2DFB"/>
    <w:rsid w:val="00CC48EC"/>
    <w:rsid w:val="00CC4F53"/>
    <w:rsid w:val="00CD49CB"/>
    <w:rsid w:val="00D02782"/>
    <w:rsid w:val="00D04D02"/>
    <w:rsid w:val="00D0735B"/>
    <w:rsid w:val="00D161FE"/>
    <w:rsid w:val="00D26B00"/>
    <w:rsid w:val="00D30618"/>
    <w:rsid w:val="00D45C60"/>
    <w:rsid w:val="00D56DE7"/>
    <w:rsid w:val="00D57137"/>
    <w:rsid w:val="00D7453F"/>
    <w:rsid w:val="00D840B4"/>
    <w:rsid w:val="00DC5219"/>
    <w:rsid w:val="00DC739D"/>
    <w:rsid w:val="00DE25DF"/>
    <w:rsid w:val="00DE283C"/>
    <w:rsid w:val="00E13C5D"/>
    <w:rsid w:val="00E27EA6"/>
    <w:rsid w:val="00E469CD"/>
    <w:rsid w:val="00E50DF9"/>
    <w:rsid w:val="00E56BB2"/>
    <w:rsid w:val="00E63F9E"/>
    <w:rsid w:val="00EA6948"/>
    <w:rsid w:val="00EC780F"/>
    <w:rsid w:val="00ED3814"/>
    <w:rsid w:val="00EF01FF"/>
    <w:rsid w:val="00EF7493"/>
    <w:rsid w:val="00F43C64"/>
    <w:rsid w:val="00F5588A"/>
    <w:rsid w:val="00F56AEE"/>
    <w:rsid w:val="00F611A0"/>
    <w:rsid w:val="00F65093"/>
    <w:rsid w:val="00F91A65"/>
    <w:rsid w:val="00F953A8"/>
    <w:rsid w:val="00FA567E"/>
    <w:rsid w:val="00FB429E"/>
    <w:rsid w:val="00FB4F12"/>
    <w:rsid w:val="00FB513B"/>
    <w:rsid w:val="00FF39E2"/>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
    </o:shapedefaults>
    <o:shapelayout v:ext="edit">
      <o:idmap v:ext="edit" data="1"/>
    </o:shapelayout>
  </w:shapeDefaults>
  <w:decimalSymbol w:val=","/>
  <w:listSeparator w:val=";"/>
  <w14:docId w14:val="79BFE82F"/>
  <w15:docId w15:val="{C434CC97-20A2-4683-A7E2-E5AA0DA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CD"/>
    <w:pPr>
      <w:jc w:val="both"/>
    </w:pPr>
    <w:rPr>
      <w:sz w:val="24"/>
      <w:lang w:eastAsia="en-US"/>
    </w:rPr>
  </w:style>
  <w:style w:type="paragraph" w:styleId="Heading1">
    <w:name w:val="heading 1"/>
    <w:basedOn w:val="Normal"/>
    <w:next w:val="Normal"/>
    <w:uiPriority w:val="9"/>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FooterChar">
    <w:name w:val="Footer Char"/>
    <w:basedOn w:val="DefaultParagraphFont"/>
    <w:link w:val="Footer"/>
    <w:uiPriority w:val="99"/>
    <w:rsid w:val="00B63F9D"/>
    <w:rPr>
      <w:sz w:val="24"/>
      <w:lang w:eastAsia="en-US"/>
    </w:rPr>
  </w:style>
  <w:style w:type="table" w:styleId="TableGrid">
    <w:name w:val="Table Grid"/>
    <w:basedOn w:val="TableNormal"/>
    <w:uiPriority w:val="39"/>
    <w:rsid w:val="00B63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Table of contents numbered,Loendi l›ik"/>
    <w:basedOn w:val="Normal"/>
    <w:link w:val="ListParagraphChar"/>
    <w:uiPriority w:val="34"/>
    <w:qFormat/>
    <w:rsid w:val="008322BA"/>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8322BA"/>
    <w:pPr>
      <w:autoSpaceDE w:val="0"/>
      <w:autoSpaceDN w:val="0"/>
      <w:adjustRightInd w:val="0"/>
    </w:pPr>
    <w:rPr>
      <w:rFonts w:eastAsiaTheme="minorHAnsi"/>
      <w:color w:val="000000"/>
      <w:sz w:val="24"/>
      <w:szCs w:val="24"/>
      <w:lang w:eastAsia="en-US"/>
    </w:rPr>
  </w:style>
  <w:style w:type="paragraph" w:customStyle="1" w:styleId="Laad1">
    <w:name w:val="Laad1"/>
    <w:basedOn w:val="ListParagraph"/>
    <w:qFormat/>
    <w:rsid w:val="008322BA"/>
    <w:pPr>
      <w:numPr>
        <w:numId w:val="6"/>
      </w:numPr>
      <w:tabs>
        <w:tab w:val="num" w:pos="360"/>
        <w:tab w:val="num" w:pos="432"/>
      </w:tabs>
      <w:spacing w:after="0" w:line="240" w:lineRule="auto"/>
      <w:ind w:left="0" w:firstLine="0"/>
      <w:contextualSpacing w:val="0"/>
      <w:jc w:val="both"/>
      <w:outlineLvl w:val="0"/>
    </w:pPr>
    <w:rPr>
      <w:rFonts w:ascii="Times New Roman" w:eastAsia="Times New Roman" w:hAnsi="Times New Roman" w:cs="Times New Roman"/>
      <w:b/>
      <w:bCs/>
      <w:sz w:val="24"/>
      <w:szCs w:val="24"/>
      <w:lang w:eastAsia="et-EE"/>
    </w:rPr>
  </w:style>
  <w:style w:type="paragraph" w:customStyle="1" w:styleId="Laad2">
    <w:name w:val="Laad2"/>
    <w:basedOn w:val="ListParagraph"/>
    <w:link w:val="Laad2Mrk"/>
    <w:qFormat/>
    <w:rsid w:val="008322BA"/>
    <w:pPr>
      <w:numPr>
        <w:ilvl w:val="1"/>
        <w:numId w:val="6"/>
      </w:numPr>
      <w:tabs>
        <w:tab w:val="num" w:pos="360"/>
        <w:tab w:val="num" w:pos="576"/>
      </w:tabs>
      <w:spacing w:after="0" w:line="240" w:lineRule="auto"/>
      <w:ind w:left="0" w:firstLine="0"/>
      <w:jc w:val="both"/>
    </w:pPr>
    <w:rPr>
      <w:rFonts w:ascii="Times New Roman" w:eastAsia="Times New Roman" w:hAnsi="Times New Roman" w:cs="Times New Roman"/>
      <w:sz w:val="24"/>
      <w:szCs w:val="24"/>
      <w:lang w:eastAsia="et-EE"/>
    </w:rPr>
  </w:style>
  <w:style w:type="character" w:customStyle="1" w:styleId="Laad2Mrk">
    <w:name w:val="Laad2 Märk"/>
    <w:basedOn w:val="DefaultParagraphFont"/>
    <w:link w:val="Laad2"/>
    <w:rsid w:val="008322BA"/>
    <w:rPr>
      <w:sz w:val="24"/>
      <w:szCs w:val="24"/>
    </w:rPr>
  </w:style>
  <w:style w:type="character" w:customStyle="1" w:styleId="ListParagraphChar">
    <w:name w:val="List Paragraph Char"/>
    <w:aliases w:val="Mummuga loetelu Char,Table of contents numbered Char,Loendi l›ik Char"/>
    <w:link w:val="ListParagraph"/>
    <w:uiPriority w:val="34"/>
    <w:locked/>
    <w:rsid w:val="008322B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anked@smi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6266</Characters>
  <Application>Microsoft Office Word</Application>
  <DocSecurity>0</DocSecurity>
  <Lines>52</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algatuskiri</vt:lpstr>
      <vt:lpstr>algatuskiri</vt:lpstr>
    </vt:vector>
  </TitlesOfParts>
  <Company>Siseministeerium</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Kairi Sule</dc:creator>
  <cp:lastModifiedBy>DELTA</cp:lastModifiedBy>
  <cp:revision>2</cp:revision>
  <cp:lastPrinted>2014-10-07T07:40:00Z</cp:lastPrinted>
  <dcterms:created xsi:type="dcterms:W3CDTF">2024-02-15T10:38:00Z</dcterms:created>
  <dcterms:modified xsi:type="dcterms:W3CDTF">2024-02-15T10:38:00Z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 saaja_1</vt:lpwstr>
  </property>
  <property fmtid="{D5CDD505-2E9C-101B-9397-08002B2CF9AE}" pid="20" name="delta_recipientEmail">
    <vt:lpwstr>{Adressaadi e-posti aadress}</vt:lpwstr>
  </property>
  <property fmtid="{D5CDD505-2E9C-101B-9397-08002B2CF9AE}" pid="21" name="delta_additionalRecipientEmail">
    <vt:lpwstr>{Saaja e-posti aadress}</vt:lpwstr>
  </property>
  <property fmtid="{D5CDD505-2E9C-101B-9397-08002B2CF9AE}" pid="22" name="delta_recipientEmai.1l">
    <vt:lpwstr>{Adressaadi e-posti aadress}</vt:lpwstr>
  </property>
  <property fmtid="{D5CDD505-2E9C-101B-9397-08002B2CF9AE}" pid="23" name="delta_additionalRecipientEmail.1">
    <vt:lpwstr>{Saaja e-posti aadress}</vt:lpwstr>
  </property>
  <property fmtid="{D5CDD505-2E9C-101B-9397-08002B2CF9AE}" pid="24" name="delta_recipientEmail.1">
    <vt:lpwstr>{Saaja e-posti aadress}</vt:lpwstr>
  </property>
  <property fmtid="{D5CDD505-2E9C-101B-9397-08002B2CF9AE}" pid="25" name="delta_recipientPersonName">
    <vt:lpwstr>{saaja nimi}</vt:lpwstr>
  </property>
  <property fmtid="{D5CDD505-2E9C-101B-9397-08002B2CF9AE}" pid="26" name="delta_additionalRecipientName.2">
    <vt:lpwstr>lisa saaja_2</vt:lpwstr>
  </property>
  <property fmtid="{D5CDD505-2E9C-101B-9397-08002B2CF9AE}" pid="27" name="delta_additionalRecipientName.3">
    <vt:lpwstr>lisa saaja_3</vt:lpwstr>
  </property>
  <property fmtid="{D5CDD505-2E9C-101B-9397-08002B2CF9AE}" pid="28" name="delta_recipientPersonName.1">
    <vt:lpwstr>{saaja nimi}</vt:lpwstr>
  </property>
</Properties>
</file>